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rPr>
          <w:rFonts w:ascii="Times New Roman" w:hAnsi="Times New Roman"/>
        </w:rPr>
      </w:pPr>
      <w:r>
        <w:rPr>
          <w:rFonts w:ascii="Times New Roman" w:hAnsi="Times New Roman"/>
        </w:rPr>
        <w:t xml:space="preserve">    </w:t>
      </w:r>
    </w:p>
    <w:p>
      <w:pPr>
        <w:tabs>
          <w:tab w:val="left" w:pos="2970"/>
          <w:tab w:val="center" w:pos="4422"/>
        </w:tabs>
        <w:rPr>
          <w:rFonts w:ascii="Times New Roman" w:hAnsi="Times New Roman"/>
          <w:b/>
          <w:sz w:val="52"/>
          <w:szCs w:val="52"/>
        </w:rPr>
      </w:pPr>
    </w:p>
    <w:p>
      <w:pPr>
        <w:tabs>
          <w:tab w:val="left" w:pos="2970"/>
          <w:tab w:val="center" w:pos="4422"/>
        </w:tabs>
        <w:rPr>
          <w:rFonts w:ascii="Times New Roman" w:hAnsi="Times New Roman"/>
          <w:b/>
          <w:sz w:val="52"/>
          <w:szCs w:val="52"/>
        </w:rPr>
      </w:pPr>
    </w:p>
    <w:p>
      <w:pPr>
        <w:rPr>
          <w:rFonts w:ascii="Times New Roman" w:hAnsi="Times New Roman"/>
        </w:rPr>
      </w:pPr>
    </w:p>
    <w:p>
      <w:pPr>
        <w:tabs>
          <w:tab w:val="left" w:pos="2970"/>
          <w:tab w:val="center" w:pos="4422"/>
        </w:tabs>
        <w:jc w:val="center"/>
        <w:rPr>
          <w:rFonts w:ascii="Times New Roman" w:hAnsi="Times New Roman"/>
          <w:b/>
          <w:sz w:val="52"/>
          <w:szCs w:val="52"/>
        </w:rPr>
      </w:pPr>
      <w:r>
        <w:rPr>
          <w:rFonts w:ascii="Times New Roman" w:hAnsi="Times New Roman"/>
          <w:b/>
          <w:sz w:val="52"/>
          <w:szCs w:val="52"/>
        </w:rPr>
        <w:t>江苏食品药品职业技术学院</w:t>
      </w:r>
    </w:p>
    <w:p>
      <w:pPr>
        <w:tabs>
          <w:tab w:val="left" w:pos="2970"/>
          <w:tab w:val="center" w:pos="4422"/>
        </w:tabs>
        <w:jc w:val="center"/>
        <w:rPr>
          <w:rFonts w:ascii="Times New Roman" w:hAnsi="Times New Roman"/>
          <w:b/>
          <w:sz w:val="48"/>
          <w:szCs w:val="48"/>
        </w:rPr>
      </w:pPr>
      <w:r>
        <w:rPr>
          <w:rFonts w:hint="eastAsia" w:ascii="Times New Roman" w:hAnsi="Times New Roman"/>
          <w:b/>
          <w:sz w:val="48"/>
          <w:szCs w:val="48"/>
          <w:lang w:eastAsia="zh-CN"/>
        </w:rPr>
        <w:t>学生公寓洗衣机投资经营服务</w:t>
      </w:r>
      <w:r>
        <w:rPr>
          <w:rFonts w:ascii="Times New Roman" w:hAnsi="Times New Roman"/>
          <w:b/>
          <w:sz w:val="48"/>
          <w:szCs w:val="48"/>
        </w:rPr>
        <w:t>项目</w:t>
      </w: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jc w:val="center"/>
        <w:rPr>
          <w:rFonts w:ascii="Times New Roman" w:hAnsi="Times New Roman"/>
          <w:b/>
          <w:sz w:val="52"/>
          <w:szCs w:val="52"/>
        </w:rPr>
      </w:pPr>
      <w:r>
        <w:rPr>
          <w:rFonts w:ascii="Times New Roman" w:hAnsi="Times New Roman"/>
          <w:b/>
          <w:sz w:val="52"/>
          <w:szCs w:val="52"/>
        </w:rPr>
        <w:t>竞争性磋商文件</w:t>
      </w: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ind w:firstLine="1928" w:firstLineChars="600"/>
        <w:rPr>
          <w:rFonts w:ascii="Times New Roman" w:hAnsi="Times New Roman"/>
          <w:b/>
          <w:bCs/>
          <w:sz w:val="32"/>
          <w:szCs w:val="32"/>
        </w:rPr>
      </w:pPr>
      <w:r>
        <w:rPr>
          <w:rFonts w:ascii="Times New Roman" w:hAnsi="Times New Roman"/>
          <w:b/>
          <w:bCs/>
          <w:sz w:val="32"/>
          <w:szCs w:val="32"/>
        </w:rPr>
        <w:t>采购编号：JSSP2020</w:t>
      </w:r>
      <w:r>
        <w:rPr>
          <w:rFonts w:hint="eastAsia" w:ascii="Times New Roman" w:hAnsi="Times New Roman"/>
          <w:b/>
          <w:bCs/>
          <w:sz w:val="32"/>
          <w:szCs w:val="32"/>
          <w:lang w:val="en-US" w:eastAsia="zh-CN"/>
        </w:rPr>
        <w:t>ZY001</w:t>
      </w:r>
      <w:r>
        <w:rPr>
          <w:rFonts w:ascii="Times New Roman" w:hAnsi="Times New Roman"/>
          <w:b/>
          <w:bCs/>
          <w:sz w:val="32"/>
          <w:szCs w:val="32"/>
        </w:rPr>
        <w:t>X</w:t>
      </w:r>
    </w:p>
    <w:p>
      <w:pPr>
        <w:ind w:firstLine="1928" w:firstLineChars="600"/>
        <w:rPr>
          <w:rFonts w:ascii="Times New Roman" w:hAnsi="Times New Roman"/>
          <w:b/>
          <w:bCs/>
          <w:sz w:val="32"/>
          <w:szCs w:val="32"/>
        </w:rPr>
      </w:pPr>
      <w:r>
        <w:rPr>
          <w:rFonts w:ascii="Times New Roman" w:hAnsi="Times New Roman"/>
          <w:b/>
          <w:bCs/>
          <w:sz w:val="32"/>
          <w:szCs w:val="32"/>
        </w:rPr>
        <w:t>采 购 人：江苏食品药品职业技术学院</w:t>
      </w:r>
    </w:p>
    <w:p>
      <w:pPr>
        <w:spacing w:line="480" w:lineRule="auto"/>
        <w:jc w:val="center"/>
        <w:rPr>
          <w:rFonts w:hint="default" w:ascii="Times New Roman" w:hAnsi="Times New Roman" w:eastAsia="宋体"/>
          <w:b/>
          <w:bCs/>
          <w:sz w:val="32"/>
          <w:szCs w:val="32"/>
          <w:lang w:val="en-US" w:eastAsia="zh-CN"/>
        </w:rPr>
      </w:pPr>
      <w:r>
        <w:rPr>
          <w:rFonts w:ascii="Times New Roman" w:hAnsi="Times New Roman"/>
          <w:b/>
          <w:bCs/>
          <w:sz w:val="32"/>
          <w:szCs w:val="32"/>
        </w:rPr>
        <w:t>2020-</w:t>
      </w:r>
      <w:r>
        <w:rPr>
          <w:rFonts w:hint="eastAsia" w:ascii="Times New Roman" w:hAnsi="Times New Roman"/>
          <w:b/>
          <w:bCs/>
          <w:sz w:val="32"/>
          <w:szCs w:val="32"/>
          <w:lang w:val="en-US" w:eastAsia="zh-CN"/>
        </w:rPr>
        <w:t>10</w:t>
      </w:r>
    </w:p>
    <w:p>
      <w:pPr>
        <w:pStyle w:val="3"/>
        <w:rPr>
          <w:rFonts w:ascii="Times New Roman" w:hAnsi="Times New Roman"/>
        </w:rPr>
        <w:sectPr>
          <w:headerReference r:id="rId5" w:type="first"/>
          <w:footerReference r:id="rId8" w:type="first"/>
          <w:headerReference r:id="rId3" w:type="default"/>
          <w:footerReference r:id="rId6" w:type="default"/>
          <w:headerReference r:id="rId4" w:type="even"/>
          <w:footerReference r:id="rId7" w:type="even"/>
          <w:type w:val="nextColumn"/>
          <w:pgSz w:w="11907" w:h="16840"/>
          <w:pgMar w:top="822" w:right="947" w:bottom="822" w:left="947" w:header="850" w:footer="340" w:gutter="0"/>
          <w:cols w:space="720" w:num="1"/>
          <w:titlePg/>
          <w:docGrid w:linePitch="326" w:charSpace="0"/>
        </w:sectPr>
      </w:pPr>
    </w:p>
    <w:p>
      <w:pPr>
        <w:pStyle w:val="3"/>
        <w:rPr>
          <w:rFonts w:ascii="Times New Roman" w:hAnsi="Times New Roman"/>
        </w:rPr>
      </w:pPr>
      <w:r>
        <w:rPr>
          <w:rFonts w:ascii="Times New Roman" w:hAnsi="Times New Roman"/>
        </w:rPr>
        <w:t>目    录</w:t>
      </w:r>
    </w:p>
    <w:p>
      <w:pPr>
        <w:pStyle w:val="35"/>
        <w:tabs>
          <w:tab w:val="right" w:leader="dot" w:pos="9629"/>
        </w:tabs>
        <w:rPr>
          <w:rFonts w:ascii="Times New Roman" w:hAnsi="Times New Roman" w:eastAsiaTheme="minorEastAsia"/>
          <w:sz w:val="21"/>
          <w:szCs w:val="22"/>
        </w:rPr>
      </w:pPr>
      <w:r>
        <w:rPr>
          <w:rFonts w:ascii="Times New Roman" w:hAnsi="Times New Roman"/>
          <w:bCs/>
          <w:sz w:val="28"/>
          <w:szCs w:val="28"/>
        </w:rPr>
        <w:fldChar w:fldCharType="begin"/>
      </w:r>
      <w:r>
        <w:rPr>
          <w:rFonts w:ascii="Times New Roman" w:hAnsi="Times New Roman"/>
          <w:bCs/>
          <w:sz w:val="28"/>
          <w:szCs w:val="28"/>
        </w:rPr>
        <w:instrText xml:space="preserve"> TOC \o "1-1" \h \z \u </w:instrText>
      </w:r>
      <w:r>
        <w:rPr>
          <w:rFonts w:ascii="Times New Roman" w:hAnsi="Times New Roman"/>
          <w:bCs/>
          <w:sz w:val="28"/>
          <w:szCs w:val="28"/>
        </w:rPr>
        <w:fldChar w:fldCharType="separate"/>
      </w:r>
      <w:r>
        <w:fldChar w:fldCharType="begin"/>
      </w:r>
      <w:r>
        <w:instrText xml:space="preserve"> HYPERLINK \l "_Toc41576443" </w:instrText>
      </w:r>
      <w:r>
        <w:fldChar w:fldCharType="separate"/>
      </w:r>
      <w:r>
        <w:rPr>
          <w:rStyle w:val="59"/>
          <w:rFonts w:ascii="Times New Roman" w:hAnsi="Times New Roman"/>
        </w:rPr>
        <w:t>第一章 竞争性磋商邀请</w:t>
      </w:r>
      <w:r>
        <w:rPr>
          <w:rFonts w:ascii="Times New Roman" w:hAnsi="Times New Roman"/>
        </w:rPr>
        <w:tab/>
      </w:r>
      <w:r>
        <w:rPr>
          <w:rFonts w:ascii="Times New Roman" w:hAnsi="Times New Roman"/>
        </w:rPr>
        <w:fldChar w:fldCharType="begin"/>
      </w:r>
      <w:r>
        <w:rPr>
          <w:rFonts w:ascii="Times New Roman" w:hAnsi="Times New Roman"/>
        </w:rPr>
        <w:instrText xml:space="preserve"> PAGEREF _Toc41576443 \h </w:instrText>
      </w:r>
      <w:r>
        <w:rPr>
          <w:rFonts w:ascii="Times New Roman" w:hAnsi="Times New Roman"/>
        </w:rPr>
        <w:fldChar w:fldCharType="separate"/>
      </w:r>
      <w:r>
        <w:rPr>
          <w:rFonts w:ascii="Times New Roman" w:hAnsi="Times New Roman"/>
        </w:rPr>
        <w:t>3</w:t>
      </w:r>
      <w:r>
        <w:rPr>
          <w:rFonts w:ascii="Times New Roman" w:hAnsi="Times New Roman"/>
        </w:rPr>
        <w:fldChar w:fldCharType="end"/>
      </w:r>
      <w:r>
        <w:rPr>
          <w:rFonts w:ascii="Times New Roman" w:hAnsi="Times New Roman"/>
        </w:rPr>
        <w:fldChar w:fldCharType="end"/>
      </w:r>
    </w:p>
    <w:p>
      <w:pPr>
        <w:pStyle w:val="35"/>
        <w:tabs>
          <w:tab w:val="right" w:leader="dot" w:pos="9629"/>
        </w:tabs>
        <w:rPr>
          <w:rFonts w:ascii="Times New Roman" w:hAnsi="Times New Roman" w:eastAsiaTheme="minorEastAsia"/>
          <w:sz w:val="21"/>
          <w:szCs w:val="22"/>
        </w:rPr>
      </w:pPr>
      <w:r>
        <w:fldChar w:fldCharType="begin"/>
      </w:r>
      <w:r>
        <w:instrText xml:space="preserve"> HYPERLINK \l "_Toc41576444" </w:instrText>
      </w:r>
      <w:r>
        <w:fldChar w:fldCharType="separate"/>
      </w:r>
      <w:r>
        <w:rPr>
          <w:rStyle w:val="59"/>
          <w:rFonts w:ascii="Times New Roman" w:hAnsi="Times New Roman"/>
        </w:rPr>
        <w:t>第二章 供应商须知前附表</w:t>
      </w:r>
      <w:r>
        <w:rPr>
          <w:rFonts w:ascii="Times New Roman" w:hAnsi="Times New Roman"/>
        </w:rPr>
        <w:tab/>
      </w:r>
      <w:r>
        <w:rPr>
          <w:rFonts w:ascii="Times New Roman" w:hAnsi="Times New Roman"/>
        </w:rPr>
        <w:fldChar w:fldCharType="begin"/>
      </w:r>
      <w:r>
        <w:rPr>
          <w:rFonts w:ascii="Times New Roman" w:hAnsi="Times New Roman"/>
        </w:rPr>
        <w:instrText xml:space="preserve"> PAGEREF _Toc41576444 \h </w:instrText>
      </w:r>
      <w:r>
        <w:rPr>
          <w:rFonts w:ascii="Times New Roman" w:hAnsi="Times New Roman"/>
        </w:rPr>
        <w:fldChar w:fldCharType="separate"/>
      </w:r>
      <w:r>
        <w:rPr>
          <w:rFonts w:ascii="Times New Roman" w:hAnsi="Times New Roman"/>
        </w:rPr>
        <w:t>6</w:t>
      </w:r>
      <w:r>
        <w:rPr>
          <w:rFonts w:ascii="Times New Roman" w:hAnsi="Times New Roman"/>
        </w:rPr>
        <w:fldChar w:fldCharType="end"/>
      </w:r>
      <w:r>
        <w:rPr>
          <w:rFonts w:ascii="Times New Roman" w:hAnsi="Times New Roman"/>
        </w:rPr>
        <w:fldChar w:fldCharType="end"/>
      </w:r>
    </w:p>
    <w:p>
      <w:pPr>
        <w:pStyle w:val="35"/>
        <w:tabs>
          <w:tab w:val="right" w:leader="dot" w:pos="9629"/>
        </w:tabs>
        <w:rPr>
          <w:rFonts w:ascii="Times New Roman" w:hAnsi="Times New Roman" w:eastAsiaTheme="minorEastAsia"/>
          <w:sz w:val="21"/>
          <w:szCs w:val="22"/>
        </w:rPr>
      </w:pPr>
      <w:r>
        <w:fldChar w:fldCharType="begin"/>
      </w:r>
      <w:r>
        <w:instrText xml:space="preserve"> HYPERLINK \l "_Toc41576445" </w:instrText>
      </w:r>
      <w:r>
        <w:fldChar w:fldCharType="separate"/>
      </w:r>
      <w:r>
        <w:rPr>
          <w:rStyle w:val="59"/>
          <w:rFonts w:ascii="Times New Roman" w:hAnsi="Times New Roman"/>
        </w:rPr>
        <w:t>第三章 评审办法</w:t>
      </w:r>
      <w:r>
        <w:rPr>
          <w:rFonts w:ascii="Times New Roman" w:hAnsi="Times New Roman"/>
        </w:rPr>
        <w:tab/>
      </w:r>
      <w:r>
        <w:rPr>
          <w:rFonts w:ascii="Times New Roman" w:hAnsi="Times New Roman"/>
        </w:rPr>
        <w:fldChar w:fldCharType="begin"/>
      </w:r>
      <w:r>
        <w:rPr>
          <w:rFonts w:ascii="Times New Roman" w:hAnsi="Times New Roman"/>
        </w:rPr>
        <w:instrText xml:space="preserve"> PAGEREF _Toc41576445 \h </w:instrText>
      </w:r>
      <w:r>
        <w:rPr>
          <w:rFonts w:ascii="Times New Roman" w:hAnsi="Times New Roman"/>
        </w:rPr>
        <w:fldChar w:fldCharType="separate"/>
      </w:r>
      <w:r>
        <w:rPr>
          <w:rFonts w:ascii="Times New Roman" w:hAnsi="Times New Roman"/>
        </w:rPr>
        <w:t>20</w:t>
      </w:r>
      <w:r>
        <w:rPr>
          <w:rFonts w:ascii="Times New Roman" w:hAnsi="Times New Roman"/>
        </w:rPr>
        <w:fldChar w:fldCharType="end"/>
      </w:r>
      <w:r>
        <w:rPr>
          <w:rFonts w:ascii="Times New Roman" w:hAnsi="Times New Roman"/>
        </w:rPr>
        <w:fldChar w:fldCharType="end"/>
      </w:r>
    </w:p>
    <w:p>
      <w:pPr>
        <w:pStyle w:val="35"/>
        <w:tabs>
          <w:tab w:val="right" w:leader="dot" w:pos="9629"/>
        </w:tabs>
        <w:rPr>
          <w:rFonts w:ascii="Times New Roman" w:hAnsi="Times New Roman"/>
        </w:rPr>
      </w:pPr>
      <w:r>
        <w:fldChar w:fldCharType="begin"/>
      </w:r>
      <w:r>
        <w:instrText xml:space="preserve"> HYPERLINK \l "_Toc41576446" </w:instrText>
      </w:r>
      <w:r>
        <w:fldChar w:fldCharType="separate"/>
      </w:r>
      <w:r>
        <w:rPr>
          <w:rStyle w:val="59"/>
          <w:rFonts w:ascii="Times New Roman" w:hAnsi="Times New Roman"/>
        </w:rPr>
        <w:t>第四章 项目需求</w:t>
      </w:r>
      <w:r>
        <w:rPr>
          <w:rFonts w:ascii="Times New Roman" w:hAnsi="Times New Roman"/>
        </w:rPr>
        <w:tab/>
      </w:r>
      <w:r>
        <w:rPr>
          <w:rFonts w:ascii="Times New Roman" w:hAnsi="Times New Roman"/>
        </w:rPr>
        <w:fldChar w:fldCharType="begin"/>
      </w:r>
      <w:r>
        <w:rPr>
          <w:rFonts w:ascii="Times New Roman" w:hAnsi="Times New Roman"/>
        </w:rPr>
        <w:instrText xml:space="preserve"> PAGEREF _Toc41576446 \h </w:instrText>
      </w:r>
      <w:r>
        <w:rPr>
          <w:rFonts w:ascii="Times New Roman" w:hAnsi="Times New Roman"/>
        </w:rPr>
        <w:fldChar w:fldCharType="separate"/>
      </w:r>
      <w:r>
        <w:rPr>
          <w:rFonts w:ascii="Times New Roman" w:hAnsi="Times New Roman"/>
        </w:rPr>
        <w:t>24</w:t>
      </w:r>
      <w:r>
        <w:rPr>
          <w:rFonts w:ascii="Times New Roman" w:hAnsi="Times New Roman"/>
        </w:rPr>
        <w:fldChar w:fldCharType="end"/>
      </w:r>
      <w:r>
        <w:rPr>
          <w:rFonts w:ascii="Times New Roman" w:hAnsi="Times New Roman"/>
        </w:rPr>
        <w:fldChar w:fldCharType="end"/>
      </w:r>
    </w:p>
    <w:p>
      <w:pPr>
        <w:pStyle w:val="35"/>
        <w:tabs>
          <w:tab w:val="right" w:leader="dot" w:pos="9629"/>
        </w:tabs>
        <w:rPr>
          <w:rFonts w:ascii="Times New Roman" w:hAnsi="Times New Roman" w:eastAsiaTheme="minorEastAsia"/>
          <w:sz w:val="21"/>
          <w:szCs w:val="22"/>
        </w:rPr>
      </w:pPr>
      <w:r>
        <w:fldChar w:fldCharType="begin"/>
      </w:r>
      <w:r>
        <w:instrText xml:space="preserve"> HYPERLINK \l "_Toc41576447" </w:instrText>
      </w:r>
      <w:r>
        <w:fldChar w:fldCharType="separate"/>
      </w:r>
      <w:r>
        <w:rPr>
          <w:rStyle w:val="59"/>
          <w:rFonts w:ascii="Times New Roman" w:hAnsi="Times New Roman"/>
        </w:rPr>
        <w:t xml:space="preserve">第五章 </w:t>
      </w:r>
      <w:r>
        <w:rPr>
          <w:rStyle w:val="59"/>
          <w:rFonts w:hint="eastAsia" w:ascii="Times New Roman" w:hAnsi="Times New Roman"/>
        </w:rPr>
        <w:t>合同</w:t>
      </w:r>
      <w:r>
        <w:rPr>
          <w:rStyle w:val="59"/>
          <w:rFonts w:ascii="Times New Roman" w:hAnsi="Times New Roman"/>
        </w:rPr>
        <w:t>格式</w:t>
      </w:r>
      <w:r>
        <w:rPr>
          <w:rFonts w:ascii="Times New Roman" w:hAnsi="Times New Roman"/>
        </w:rPr>
        <w:tab/>
      </w:r>
      <w:r>
        <w:rPr>
          <w:rFonts w:ascii="Times New Roman" w:hAnsi="Times New Roman"/>
        </w:rPr>
        <w:fldChar w:fldCharType="begin"/>
      </w:r>
      <w:r>
        <w:rPr>
          <w:rFonts w:ascii="Times New Roman" w:hAnsi="Times New Roman"/>
        </w:rPr>
        <w:instrText xml:space="preserve"> PAGEREF _Toc41576447 \h </w:instrText>
      </w:r>
      <w:r>
        <w:rPr>
          <w:rFonts w:ascii="Times New Roman" w:hAnsi="Times New Roman"/>
        </w:rPr>
        <w:fldChar w:fldCharType="separate"/>
      </w:r>
      <w:r>
        <w:rPr>
          <w:rFonts w:ascii="Times New Roman" w:hAnsi="Times New Roman"/>
        </w:rPr>
        <w:t>26</w:t>
      </w:r>
      <w:r>
        <w:rPr>
          <w:rFonts w:ascii="Times New Roman" w:hAnsi="Times New Roman"/>
        </w:rPr>
        <w:fldChar w:fldCharType="end"/>
      </w:r>
      <w:r>
        <w:rPr>
          <w:rFonts w:ascii="Times New Roman" w:hAnsi="Times New Roman"/>
        </w:rPr>
        <w:fldChar w:fldCharType="end"/>
      </w:r>
    </w:p>
    <w:p>
      <w:pPr>
        <w:pStyle w:val="35"/>
        <w:tabs>
          <w:tab w:val="right" w:leader="dot" w:pos="9629"/>
        </w:tabs>
        <w:rPr>
          <w:rFonts w:ascii="Times New Roman" w:hAnsi="Times New Roman" w:eastAsiaTheme="minorEastAsia"/>
          <w:sz w:val="21"/>
          <w:szCs w:val="22"/>
        </w:rPr>
      </w:pPr>
      <w:r>
        <w:fldChar w:fldCharType="begin"/>
      </w:r>
      <w:r>
        <w:instrText xml:space="preserve"> HYPERLINK \l "_Toc41576447" </w:instrText>
      </w:r>
      <w:r>
        <w:fldChar w:fldCharType="separate"/>
      </w:r>
      <w:r>
        <w:rPr>
          <w:rStyle w:val="59"/>
          <w:rFonts w:ascii="Times New Roman" w:hAnsi="Times New Roman"/>
        </w:rPr>
        <w:t>第</w:t>
      </w:r>
      <w:r>
        <w:rPr>
          <w:rStyle w:val="59"/>
          <w:rFonts w:hint="eastAsia" w:ascii="Times New Roman" w:hAnsi="Times New Roman"/>
        </w:rPr>
        <w:t>六</w:t>
      </w:r>
      <w:r>
        <w:rPr>
          <w:rStyle w:val="59"/>
          <w:rFonts w:ascii="Times New Roman" w:hAnsi="Times New Roman"/>
        </w:rPr>
        <w:t>章 响应文件</w:t>
      </w:r>
      <w:bookmarkStart w:id="265" w:name="_GoBack"/>
      <w:bookmarkEnd w:id="265"/>
      <w:r>
        <w:rPr>
          <w:rStyle w:val="59"/>
          <w:rFonts w:ascii="Times New Roman" w:hAnsi="Times New Roman"/>
        </w:rPr>
        <w:t>格式</w:t>
      </w:r>
      <w:r>
        <w:rPr>
          <w:rFonts w:ascii="Times New Roman" w:hAnsi="Times New Roman"/>
        </w:rPr>
        <w:tab/>
      </w:r>
      <w:r>
        <w:rPr>
          <w:rFonts w:ascii="Times New Roman" w:hAnsi="Times New Roman"/>
        </w:rPr>
        <w:fldChar w:fldCharType="begin"/>
      </w:r>
      <w:r>
        <w:rPr>
          <w:rFonts w:ascii="Times New Roman" w:hAnsi="Times New Roman"/>
        </w:rPr>
        <w:instrText xml:space="preserve"> PAGEREF _Toc41576447 \h </w:instrText>
      </w:r>
      <w:r>
        <w:rPr>
          <w:rFonts w:ascii="Times New Roman" w:hAnsi="Times New Roman"/>
        </w:rPr>
        <w:fldChar w:fldCharType="separate"/>
      </w:r>
      <w:r>
        <w:rPr>
          <w:rFonts w:ascii="Times New Roman" w:hAnsi="Times New Roman"/>
        </w:rPr>
        <w:t>26</w:t>
      </w:r>
      <w:r>
        <w:rPr>
          <w:rFonts w:ascii="Times New Roman" w:hAnsi="Times New Roman"/>
        </w:rPr>
        <w:fldChar w:fldCharType="end"/>
      </w:r>
      <w:r>
        <w:rPr>
          <w:rFonts w:ascii="Times New Roman" w:hAnsi="Times New Roman"/>
        </w:rPr>
        <w:fldChar w:fldCharType="end"/>
      </w:r>
    </w:p>
    <w:p>
      <w:pPr>
        <w:rPr>
          <w:rFonts w:ascii="Times New Roman" w:hAnsi="Times New Roman"/>
        </w:rPr>
      </w:pPr>
      <w:r>
        <w:rPr>
          <w:rFonts w:ascii="Times New Roman" w:hAnsi="Times New Roman"/>
          <w:sz w:val="28"/>
          <w:szCs w:val="28"/>
        </w:rPr>
        <w:fldChar w:fldCharType="end"/>
      </w:r>
    </w:p>
    <w:p>
      <w:pPr>
        <w:rPr>
          <w:rFonts w:ascii="Times New Roman" w:hAnsi="Times New Roman"/>
        </w:rPr>
      </w:pPr>
    </w:p>
    <w:p>
      <w:pPr>
        <w:rPr>
          <w:rFonts w:ascii="Times New Roman" w:hAnsi="Times New Roman"/>
          <w:sz w:val="44"/>
          <w:szCs w:val="44"/>
        </w:rPr>
        <w:sectPr>
          <w:type w:val="continuous"/>
          <w:pgSz w:w="11907" w:h="16840"/>
          <w:pgMar w:top="1134" w:right="1134" w:bottom="1134" w:left="1134" w:header="850" w:footer="340" w:gutter="0"/>
          <w:cols w:space="720" w:num="1"/>
          <w:titlePg/>
          <w:docGrid w:linePitch="326" w:charSpace="0"/>
        </w:sectPr>
      </w:pPr>
    </w:p>
    <w:p>
      <w:pPr>
        <w:pageBreakBefore/>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pStyle w:val="2"/>
        <w:spacing w:before="120" w:after="120"/>
        <w:rPr>
          <w:rFonts w:ascii="Times New Roman" w:hAnsi="Times New Roman"/>
          <w:color w:val="auto"/>
        </w:rPr>
      </w:pPr>
      <w:bookmarkStart w:id="0" w:name="_Toc436256496"/>
      <w:bookmarkStart w:id="1" w:name="_Toc41576443"/>
      <w:r>
        <w:rPr>
          <w:rFonts w:ascii="Times New Roman" w:hAnsi="Times New Roman"/>
          <w:color w:val="auto"/>
        </w:rPr>
        <w:t>第一章 竞争性磋商邀请</w:t>
      </w:r>
      <w:bookmarkEnd w:id="0"/>
      <w:bookmarkEnd w:id="1"/>
    </w:p>
    <w:p>
      <w:pPr>
        <w:rPr>
          <w:rFonts w:ascii="Times New Roman" w:hAnsi="Times New Roman"/>
        </w:rPr>
      </w:pPr>
    </w:p>
    <w:p>
      <w:pPr>
        <w:rPr>
          <w:rFonts w:ascii="Times New Roman" w:hAnsi="Times New Roman"/>
        </w:rPr>
      </w:pPr>
    </w:p>
    <w:p>
      <w:pPr>
        <w:rPr>
          <w:rFonts w:ascii="Times New Roman" w:hAnsi="Times New Roman"/>
        </w:rPr>
      </w:pPr>
    </w:p>
    <w:p>
      <w:pPr>
        <w:pStyle w:val="3"/>
        <w:spacing w:before="240" w:beforeLines="100"/>
        <w:rPr>
          <w:rFonts w:ascii="Times New Roman" w:hAnsi="Times New Roman"/>
        </w:rPr>
      </w:pPr>
      <w:bookmarkStart w:id="2" w:name="_Hlk20578487"/>
      <w:r>
        <w:rPr>
          <w:rFonts w:ascii="Times New Roman" w:hAnsi="Times New Roman"/>
        </w:rPr>
        <w:t>竞争性磋商邀请</w:t>
      </w:r>
    </w:p>
    <w:p>
      <w:pPr>
        <w:ind w:firstLine="480" w:firstLineChars="200"/>
        <w:rPr>
          <w:rFonts w:ascii="Times New Roman" w:hAnsi="Times New Roman"/>
        </w:rPr>
      </w:pPr>
      <w:bookmarkStart w:id="3" w:name="_Toc436256497"/>
      <w:bookmarkStart w:id="4" w:name="_Hlk17273304"/>
      <w:r>
        <w:rPr>
          <w:rFonts w:ascii="Times New Roman" w:hAnsi="Times New Roman"/>
        </w:rPr>
        <w:t xml:space="preserve">江苏食品药品职业技术学院因学院建设需要，现就“ </w:t>
      </w:r>
      <w:r>
        <w:rPr>
          <w:rFonts w:hint="eastAsia" w:ascii="Times New Roman" w:hAnsi="Times New Roman"/>
          <w:lang w:eastAsia="zh-CN"/>
        </w:rPr>
        <w:t>学生公寓洗衣机投资经营服务</w:t>
      </w:r>
      <w:r>
        <w:rPr>
          <w:rFonts w:ascii="Times New Roman" w:hAnsi="Times New Roman"/>
        </w:rPr>
        <w:t>项目 (项目编号：JSSP2020</w:t>
      </w:r>
      <w:r>
        <w:rPr>
          <w:rFonts w:hint="eastAsia" w:ascii="Times New Roman" w:hAnsi="Times New Roman"/>
          <w:lang w:val="en-US" w:eastAsia="zh-CN"/>
        </w:rPr>
        <w:t>ZY</w:t>
      </w:r>
      <w:r>
        <w:rPr>
          <w:rFonts w:ascii="Times New Roman" w:hAnsi="Times New Roman"/>
        </w:rPr>
        <w:t>0</w:t>
      </w:r>
      <w:r>
        <w:rPr>
          <w:rFonts w:hint="eastAsia" w:ascii="Times New Roman" w:hAnsi="Times New Roman"/>
          <w:lang w:val="en-US" w:eastAsia="zh-CN"/>
        </w:rPr>
        <w:t>01</w:t>
      </w:r>
      <w:r>
        <w:rPr>
          <w:rFonts w:ascii="Times New Roman" w:hAnsi="Times New Roman"/>
        </w:rPr>
        <w:t>X)”项目进行竞争性磋商，现邀请</w:t>
      </w:r>
      <w:r>
        <w:rPr>
          <w:rFonts w:hint="eastAsia" w:ascii="Times New Roman" w:hAnsi="Times New Roman"/>
          <w:lang w:eastAsia="zh-CN"/>
        </w:rPr>
        <w:t>各供应商</w:t>
      </w:r>
      <w:r>
        <w:rPr>
          <w:rFonts w:ascii="Times New Roman" w:hAnsi="Times New Roman"/>
        </w:rPr>
        <w:t>参加该项目的磋商。</w:t>
      </w:r>
    </w:p>
    <w:p>
      <w:pPr>
        <w:pStyle w:val="46"/>
        <w:spacing w:before="0" w:beforeAutospacing="0" w:after="0" w:afterAutospacing="0" w:line="360" w:lineRule="auto"/>
        <w:rPr>
          <w:rFonts w:hint="default" w:ascii="Times New Roman" w:hAnsi="Times New Roman"/>
          <w:kern w:val="2"/>
          <w:szCs w:val="20"/>
        </w:rPr>
      </w:pPr>
      <w:r>
        <w:rPr>
          <w:rFonts w:hint="default" w:ascii="Times New Roman" w:hAnsi="Times New Roman"/>
          <w:b/>
          <w:kern w:val="2"/>
          <w:szCs w:val="20"/>
        </w:rPr>
        <w:t>1、项目编号</w:t>
      </w:r>
      <w:r>
        <w:rPr>
          <w:rFonts w:hint="default" w:ascii="Times New Roman" w:hAnsi="Times New Roman"/>
          <w:kern w:val="2"/>
          <w:szCs w:val="20"/>
        </w:rPr>
        <w:t>：JSSP2020</w:t>
      </w:r>
      <w:r>
        <w:rPr>
          <w:rFonts w:hint="eastAsia" w:ascii="Times New Roman" w:hAnsi="Times New Roman"/>
          <w:kern w:val="2"/>
          <w:szCs w:val="20"/>
          <w:lang w:val="en-US" w:eastAsia="zh-CN"/>
        </w:rPr>
        <w:t>ZY</w:t>
      </w:r>
      <w:r>
        <w:rPr>
          <w:rFonts w:hint="default" w:ascii="Times New Roman" w:hAnsi="Times New Roman"/>
          <w:kern w:val="2"/>
          <w:szCs w:val="20"/>
        </w:rPr>
        <w:t>0</w:t>
      </w:r>
      <w:r>
        <w:rPr>
          <w:rFonts w:hint="eastAsia" w:ascii="Times New Roman" w:hAnsi="Times New Roman"/>
          <w:kern w:val="2"/>
          <w:szCs w:val="20"/>
          <w:lang w:val="en-US" w:eastAsia="zh-CN"/>
        </w:rPr>
        <w:t>01</w:t>
      </w:r>
      <w:r>
        <w:rPr>
          <w:rFonts w:hint="default" w:ascii="Times New Roman" w:hAnsi="Times New Roman"/>
          <w:kern w:val="2"/>
          <w:szCs w:val="20"/>
        </w:rPr>
        <w:t>X</w:t>
      </w:r>
    </w:p>
    <w:p>
      <w:pPr>
        <w:rPr>
          <w:rFonts w:ascii="Times New Roman" w:hAnsi="Times New Roman"/>
        </w:rPr>
      </w:pPr>
      <w:r>
        <w:rPr>
          <w:rFonts w:ascii="Times New Roman" w:hAnsi="Times New Roman"/>
          <w:b/>
        </w:rPr>
        <w:t>2、采购人</w:t>
      </w:r>
      <w:r>
        <w:rPr>
          <w:rFonts w:ascii="Times New Roman" w:hAnsi="Times New Roman"/>
        </w:rPr>
        <w:t>：江苏食品药品职业技术学院</w:t>
      </w:r>
    </w:p>
    <w:p>
      <w:pPr>
        <w:ind w:firstLine="360" w:firstLineChars="150"/>
        <w:rPr>
          <w:rFonts w:ascii="Times New Roman" w:hAnsi="Times New Roman"/>
        </w:rPr>
      </w:pPr>
      <w:r>
        <w:rPr>
          <w:rFonts w:ascii="Times New Roman" w:hAnsi="Times New Roman"/>
        </w:rPr>
        <w:t>详细地址：江苏省淮安市枚乘东路4号</w:t>
      </w:r>
    </w:p>
    <w:p>
      <w:pPr>
        <w:ind w:firstLine="360" w:firstLineChars="150"/>
        <w:rPr>
          <w:rFonts w:ascii="Times New Roman" w:hAnsi="Times New Roman"/>
        </w:rPr>
      </w:pPr>
      <w:r>
        <w:rPr>
          <w:rFonts w:ascii="Times New Roman" w:hAnsi="Times New Roman"/>
        </w:rPr>
        <w:t>联系方式：</w:t>
      </w:r>
      <w:r>
        <w:rPr>
          <w:rFonts w:hint="eastAsia" w:ascii="Times New Roman" w:hAnsi="Times New Roman"/>
        </w:rPr>
        <w:t>金</w:t>
      </w:r>
      <w:r>
        <w:rPr>
          <w:rFonts w:ascii="Times New Roman" w:hAnsi="Times New Roman"/>
        </w:rPr>
        <w:t>老师0517-87088189</w:t>
      </w:r>
    </w:p>
    <w:p>
      <w:pPr>
        <w:numPr>
          <w:ilvl w:val="0"/>
          <w:numId w:val="6"/>
        </w:numPr>
        <w:rPr>
          <w:rFonts w:ascii="Times New Roman" w:hAnsi="Times New Roman"/>
          <w:b/>
        </w:rPr>
      </w:pPr>
      <w:r>
        <w:rPr>
          <w:rFonts w:hint="eastAsia" w:ascii="Times New Roman" w:hAnsi="Times New Roman"/>
          <w:b/>
          <w:lang w:eastAsia="zh-CN"/>
        </w:rPr>
        <w:t>项目概况（详见项目需求）</w:t>
      </w:r>
      <w:r>
        <w:rPr>
          <w:rFonts w:ascii="Times New Roman" w:hAnsi="Times New Roman"/>
          <w:b/>
        </w:rPr>
        <w:t>：</w:t>
      </w:r>
    </w:p>
    <w:p>
      <w:pPr>
        <w:numPr>
          <w:numId w:val="0"/>
        </w:numPr>
        <w:rPr>
          <w:rFonts w:hint="eastAsia"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学生公寓洗衣机投资经营服务</w:t>
      </w:r>
    </w:p>
    <w:p>
      <w:pPr>
        <w:numPr>
          <w:numId w:val="0"/>
        </w:numPr>
        <w:rPr>
          <w:rFonts w:hint="eastAsia" w:ascii="宋体" w:hAnsi="宋体"/>
          <w:color w:val="000000" w:themeColor="text1"/>
          <w:sz w:val="24"/>
          <w14:textFill>
            <w14:solidFill>
              <w14:schemeClr w14:val="tx1"/>
            </w14:solidFill>
          </w14:textFill>
        </w:rPr>
      </w:pPr>
      <w:r>
        <w:rPr>
          <w:rFonts w:hint="eastAsia"/>
          <w:color w:val="000000" w:themeColor="text1"/>
          <w:sz w:val="24"/>
          <w:lang w:eastAsia="zh-CN"/>
          <w14:textFill>
            <w14:solidFill>
              <w14:schemeClr w14:val="tx1"/>
            </w14:solidFill>
          </w14:textFill>
        </w:rPr>
        <w:t>合同期限</w:t>
      </w:r>
      <w:r>
        <w:rPr>
          <w:rFonts w:hint="eastAsia" w:ascii="宋体" w:hAnsi="宋体"/>
          <w:color w:val="000000" w:themeColor="text1"/>
          <w:sz w:val="24"/>
          <w14:textFill>
            <w14:solidFill>
              <w14:schemeClr w14:val="tx1"/>
            </w14:solidFill>
          </w14:textFill>
        </w:rPr>
        <w:t>：叁年</w:t>
      </w:r>
    </w:p>
    <w:p>
      <w:pPr>
        <w:numPr>
          <w:numId w:val="0"/>
        </w:numPr>
        <w:rPr>
          <w:rFonts w:hint="default" w:ascii="宋体" w:hAnsi="宋体" w:eastAsia="宋体"/>
          <w:color w:val="000000" w:themeColor="text1"/>
          <w:sz w:val="24"/>
          <w:lang w:val="en-US" w:eastAsia="zh-CN"/>
          <w14:textFill>
            <w14:solidFill>
              <w14:schemeClr w14:val="tx1"/>
            </w14:solidFill>
          </w14:textFill>
        </w:rPr>
      </w:pPr>
      <w:r>
        <w:rPr>
          <w:rFonts w:hint="eastAsia"/>
          <w:color w:val="000000" w:themeColor="text1"/>
          <w:sz w:val="24"/>
          <w:lang w:eastAsia="zh-CN"/>
          <w14:textFill>
            <w14:solidFill>
              <w14:schemeClr w14:val="tx1"/>
            </w14:solidFill>
          </w14:textFill>
        </w:rPr>
        <w:t>项目管理金额不少于</w:t>
      </w:r>
      <w:r>
        <w:rPr>
          <w:rFonts w:hint="eastAsia"/>
          <w:color w:val="000000" w:themeColor="text1"/>
          <w:sz w:val="24"/>
          <w:lang w:val="en-US" w:eastAsia="zh-CN"/>
          <w14:textFill>
            <w14:solidFill>
              <w14:schemeClr w14:val="tx1"/>
            </w14:solidFill>
          </w14:textFill>
        </w:rPr>
        <w:t>104825元人民币/年</w:t>
      </w:r>
    </w:p>
    <w:p>
      <w:pPr>
        <w:spacing w:before="120" w:beforeLines="50"/>
        <w:rPr>
          <w:rFonts w:ascii="Times New Roman" w:hAnsi="Times New Roman"/>
          <w:b/>
        </w:rPr>
      </w:pPr>
      <w:r>
        <w:rPr>
          <w:rFonts w:ascii="Times New Roman" w:hAnsi="Times New Roman"/>
          <w:b/>
        </w:rPr>
        <w:t>4、供应商资格必须符合下列资格要求：</w:t>
      </w:r>
    </w:p>
    <w:p>
      <w:pPr>
        <w:ind w:firstLine="480" w:firstLineChars="200"/>
        <w:rPr>
          <w:rFonts w:ascii="Times New Roman" w:hAnsi="Times New Roman"/>
          <w:szCs w:val="24"/>
        </w:rPr>
      </w:pPr>
      <w:r>
        <w:rPr>
          <w:rFonts w:ascii="Times New Roman" w:hAnsi="Times New Roman"/>
          <w:szCs w:val="24"/>
        </w:rPr>
        <w:t xml:space="preserve">1）供应商应当具备政府采购法第二十二条第一款规定的条件，提供下列材料： </w:t>
      </w:r>
    </w:p>
    <w:p>
      <w:pPr>
        <w:ind w:firstLine="480" w:firstLineChars="200"/>
        <w:rPr>
          <w:rFonts w:ascii="Times New Roman" w:hAnsi="Times New Roman"/>
          <w:szCs w:val="24"/>
        </w:rPr>
      </w:pPr>
      <w:r>
        <w:rPr>
          <w:rFonts w:ascii="Times New Roman" w:hAnsi="Times New Roman"/>
          <w:szCs w:val="24"/>
        </w:rPr>
        <w:t xml:space="preserve">（一）法人或者其他组织的营业执照等证明文件； </w:t>
      </w:r>
    </w:p>
    <w:p>
      <w:pPr>
        <w:ind w:firstLine="480" w:firstLineChars="200"/>
        <w:rPr>
          <w:rFonts w:ascii="Times New Roman" w:hAnsi="Times New Roman"/>
          <w:szCs w:val="24"/>
        </w:rPr>
      </w:pPr>
      <w:r>
        <w:rPr>
          <w:rFonts w:ascii="Times New Roman" w:hAnsi="Times New Roman"/>
          <w:szCs w:val="24"/>
        </w:rPr>
        <w:t xml:space="preserve">（二）财务状况报告，依法缴纳税收和社会保障资金的相关材料； </w:t>
      </w:r>
    </w:p>
    <w:p>
      <w:pPr>
        <w:ind w:firstLine="480" w:firstLineChars="200"/>
        <w:rPr>
          <w:rFonts w:ascii="Times New Roman" w:hAnsi="Times New Roman"/>
          <w:szCs w:val="24"/>
        </w:rPr>
      </w:pPr>
      <w:r>
        <w:rPr>
          <w:rFonts w:ascii="Times New Roman" w:hAnsi="Times New Roman"/>
          <w:szCs w:val="24"/>
        </w:rPr>
        <w:t>（三）具备履行合同所必需的设备和专业技术能力的证明材料</w:t>
      </w:r>
      <w:r>
        <w:rPr>
          <w:rFonts w:hint="eastAsia" w:ascii="Times New Roman" w:hAnsi="Times New Roman"/>
          <w:szCs w:val="24"/>
          <w:lang w:eastAsia="zh-CN"/>
        </w:rPr>
        <w:t>（提供承诺书）</w:t>
      </w:r>
      <w:r>
        <w:rPr>
          <w:rFonts w:ascii="Times New Roman" w:hAnsi="Times New Roman"/>
          <w:szCs w:val="24"/>
        </w:rPr>
        <w:t xml:space="preserve">； </w:t>
      </w:r>
    </w:p>
    <w:p>
      <w:pPr>
        <w:ind w:firstLine="480" w:firstLineChars="200"/>
        <w:rPr>
          <w:rFonts w:ascii="Times New Roman" w:hAnsi="Times New Roman"/>
          <w:szCs w:val="24"/>
        </w:rPr>
      </w:pPr>
      <w:r>
        <w:rPr>
          <w:rFonts w:ascii="Times New Roman" w:hAnsi="Times New Roman"/>
          <w:szCs w:val="24"/>
        </w:rPr>
        <w:t xml:space="preserve">（四）参加政府采购活动前3年内在经营活动中没有重大违法记录的书面声明； </w:t>
      </w:r>
    </w:p>
    <w:p>
      <w:pPr>
        <w:ind w:firstLine="480" w:firstLineChars="200"/>
        <w:rPr>
          <w:rFonts w:ascii="Times New Roman" w:hAnsi="Times New Roman"/>
          <w:szCs w:val="24"/>
        </w:rPr>
      </w:pPr>
      <w:r>
        <w:rPr>
          <w:rFonts w:ascii="Times New Roman" w:hAnsi="Times New Roman"/>
          <w:szCs w:val="24"/>
        </w:rPr>
        <w:t>（五）具备法律、行政法规规定的其他条件的证明材料；</w:t>
      </w:r>
    </w:p>
    <w:p>
      <w:pPr>
        <w:ind w:firstLine="480" w:firstLineChars="200"/>
        <w:rPr>
          <w:rFonts w:hint="eastAsia" w:ascii="Times New Roman" w:hAnsi="Times New Roman" w:eastAsia="宋体"/>
          <w:szCs w:val="24"/>
          <w:lang w:eastAsia="zh-CN"/>
        </w:rPr>
      </w:pPr>
      <w:r>
        <w:rPr>
          <w:rFonts w:ascii="Times New Roman" w:hAnsi="Times New Roman"/>
          <w:szCs w:val="24"/>
        </w:rPr>
        <w:t>2）供应商</w:t>
      </w:r>
      <w:r>
        <w:rPr>
          <w:rFonts w:hint="eastAsia" w:ascii="Times New Roman" w:hAnsi="Times New Roman"/>
          <w:szCs w:val="24"/>
          <w:lang w:eastAsia="zh-CN"/>
        </w:rPr>
        <w:t>营业执照</w:t>
      </w:r>
      <w:r>
        <w:rPr>
          <w:rFonts w:ascii="Times New Roman" w:hAnsi="Times New Roman"/>
          <w:szCs w:val="24"/>
        </w:rPr>
        <w:t>应当具</w:t>
      </w:r>
      <w:r>
        <w:rPr>
          <w:rFonts w:hint="eastAsia" w:ascii="Times New Roman" w:hAnsi="Times New Roman"/>
          <w:szCs w:val="24"/>
          <w:lang w:eastAsia="zh-CN"/>
        </w:rPr>
        <w:t>有与本项目相关的经营范围；</w:t>
      </w:r>
    </w:p>
    <w:p>
      <w:pPr>
        <w:ind w:firstLine="480" w:firstLineChars="200"/>
        <w:rPr>
          <w:rFonts w:ascii="Times New Roman" w:hAnsi="Times New Roman"/>
          <w:szCs w:val="24"/>
        </w:rPr>
      </w:pPr>
      <w:r>
        <w:rPr>
          <w:rFonts w:ascii="Times New Roman" w:hAnsi="Times New Roman"/>
          <w:szCs w:val="24"/>
        </w:rPr>
        <w:t>3）单位负责人为同一人或者存在直接控股、管理关系的不同供应商，不得同时参加本项目同一包的投标；</w:t>
      </w:r>
    </w:p>
    <w:p>
      <w:pPr>
        <w:ind w:firstLine="480" w:firstLineChars="200"/>
        <w:rPr>
          <w:rFonts w:ascii="Times New Roman" w:hAnsi="Times New Roman"/>
          <w:szCs w:val="24"/>
        </w:rPr>
      </w:pPr>
      <w:r>
        <w:rPr>
          <w:rFonts w:ascii="Times New Roman" w:hAnsi="Times New Roman"/>
          <w:szCs w:val="24"/>
        </w:rPr>
        <w:t>4）为本项目提供整体设计、规范编制或者项目管理、监理、检测等服务的供应商，不得参加该包的投标；</w:t>
      </w:r>
    </w:p>
    <w:p>
      <w:pPr>
        <w:ind w:firstLine="480" w:firstLineChars="200"/>
        <w:rPr>
          <w:rFonts w:hint="eastAsia" w:ascii="Times New Roman" w:hAnsi="Times New Roman" w:eastAsia="宋体"/>
          <w:szCs w:val="24"/>
          <w:lang w:eastAsia="zh-CN"/>
        </w:rPr>
      </w:pPr>
      <w:r>
        <w:rPr>
          <w:rFonts w:ascii="Times New Roman" w:hAnsi="Times New Roman"/>
          <w:szCs w:val="24"/>
        </w:rPr>
        <w:t>5）本项目不接受联合体投标，中标后不允许转包、分包。</w:t>
      </w:r>
      <w:r>
        <w:rPr>
          <w:rFonts w:hint="eastAsia" w:ascii="Times New Roman" w:hAnsi="Times New Roman"/>
          <w:szCs w:val="24"/>
          <w:lang w:eastAsia="zh-CN"/>
        </w:rPr>
        <w:t>提供“不转包、分包”的承诺书，格式自拟；</w:t>
      </w:r>
    </w:p>
    <w:p>
      <w:pPr>
        <w:ind w:firstLine="480" w:firstLineChars="200"/>
        <w:rPr>
          <w:rFonts w:ascii="Times New Roman" w:hAnsi="Times New Roman"/>
        </w:rPr>
      </w:pPr>
      <w:r>
        <w:rPr>
          <w:rFonts w:ascii="Times New Roman" w:hAnsi="Times New Roman"/>
        </w:rPr>
        <w:t>6）通过“信用中国”网站（www.creditchina.gov.cn）和中国政府采购网（www.ccgp.gov.cn）查询信用记录（截止时间点为响应截止时间），被列入失信被执行人、重大税收违法案件当事人名单或政府采购严重违法失信行为记录名单的供应商，没有资格参加本项目的采购活动.</w:t>
      </w:r>
    </w:p>
    <w:p>
      <w:pPr>
        <w:rPr>
          <w:rFonts w:ascii="Times New Roman" w:hAnsi="Times New Roman"/>
        </w:rPr>
      </w:pPr>
      <w:r>
        <w:rPr>
          <w:rFonts w:ascii="Times New Roman" w:hAnsi="Times New Roman"/>
        </w:rPr>
        <w:t xml:space="preserve">    7）法律、行政法规规定的其他条件。</w:t>
      </w:r>
    </w:p>
    <w:p>
      <w:pPr>
        <w:widowControl/>
        <w:rPr>
          <w:rFonts w:ascii="Times New Roman" w:hAnsi="Times New Roman"/>
          <w:b/>
          <w:kern w:val="0"/>
        </w:rPr>
      </w:pPr>
      <w:r>
        <w:rPr>
          <w:rFonts w:ascii="Times New Roman" w:hAnsi="Times New Roman"/>
          <w:b/>
          <w:kern w:val="0"/>
        </w:rPr>
        <w:t>5、磋商安排信息：</w:t>
      </w:r>
    </w:p>
    <w:p>
      <w:pPr>
        <w:widowControl/>
        <w:ind w:firstLine="440"/>
        <w:rPr>
          <w:rFonts w:hint="eastAsia" w:ascii="Times New Roman" w:hAnsi="Times New Roman" w:eastAsia="宋体"/>
          <w:color w:val="FF0000"/>
          <w:kern w:val="0"/>
          <w:lang w:eastAsia="zh-CN"/>
        </w:rPr>
      </w:pPr>
      <w:r>
        <w:rPr>
          <w:rFonts w:ascii="Times New Roman" w:hAnsi="Times New Roman"/>
          <w:kern w:val="0"/>
        </w:rPr>
        <w:t>磋商时间：2020年</w:t>
      </w:r>
      <w:r>
        <w:rPr>
          <w:rFonts w:hint="eastAsia" w:ascii="Times New Roman" w:hAnsi="Times New Roman"/>
          <w:kern w:val="0"/>
          <w:lang w:val="en-US" w:eastAsia="zh-CN"/>
        </w:rPr>
        <w:t>11</w:t>
      </w:r>
      <w:r>
        <w:rPr>
          <w:rFonts w:ascii="Times New Roman" w:hAnsi="Times New Roman"/>
          <w:kern w:val="0"/>
        </w:rPr>
        <w:t>月</w:t>
      </w:r>
      <w:r>
        <w:rPr>
          <w:rFonts w:hint="eastAsia" w:ascii="Times New Roman" w:hAnsi="Times New Roman"/>
          <w:kern w:val="0"/>
          <w:lang w:val="en-US" w:eastAsia="zh-CN"/>
        </w:rPr>
        <w:t>2</w:t>
      </w:r>
      <w:r>
        <w:rPr>
          <w:rFonts w:ascii="Times New Roman" w:hAnsi="Times New Roman"/>
          <w:kern w:val="0"/>
        </w:rPr>
        <w:t>日</w:t>
      </w:r>
      <w:r>
        <w:rPr>
          <w:rFonts w:hint="eastAsia" w:ascii="Times New Roman" w:hAnsi="Times New Roman"/>
          <w:kern w:val="0"/>
        </w:rPr>
        <w:t>上</w:t>
      </w:r>
      <w:r>
        <w:rPr>
          <w:rFonts w:ascii="Times New Roman" w:hAnsi="Times New Roman"/>
          <w:kern w:val="0"/>
        </w:rPr>
        <w:t>午</w:t>
      </w:r>
      <w:r>
        <w:rPr>
          <w:rFonts w:hint="eastAsia" w:ascii="Times New Roman" w:hAnsi="Times New Roman"/>
          <w:kern w:val="0"/>
          <w:lang w:val="en-US" w:eastAsia="zh-CN"/>
        </w:rPr>
        <w:t>9</w:t>
      </w:r>
      <w:r>
        <w:rPr>
          <w:rFonts w:ascii="Times New Roman" w:hAnsi="Times New Roman"/>
          <w:kern w:val="0"/>
        </w:rPr>
        <w:t>：</w:t>
      </w:r>
      <w:r>
        <w:rPr>
          <w:rFonts w:hint="eastAsia" w:ascii="Times New Roman" w:hAnsi="Times New Roman"/>
          <w:kern w:val="0"/>
          <w:lang w:val="en-US" w:eastAsia="zh-CN"/>
        </w:rPr>
        <w:t>00</w:t>
      </w:r>
      <w:r>
        <w:rPr>
          <w:rFonts w:ascii="Times New Roman" w:hAnsi="Times New Roman"/>
          <w:kern w:val="0"/>
        </w:rPr>
        <w:t>分 </w:t>
      </w:r>
    </w:p>
    <w:p>
      <w:pPr>
        <w:widowControl/>
        <w:ind w:firstLine="440"/>
        <w:rPr>
          <w:rFonts w:ascii="Times New Roman" w:hAnsi="Times New Roman"/>
          <w:kern w:val="0"/>
        </w:rPr>
      </w:pPr>
      <w:r>
        <w:rPr>
          <w:rFonts w:ascii="Times New Roman" w:hAnsi="Times New Roman"/>
          <w:kern w:val="0"/>
        </w:rPr>
        <w:t xml:space="preserve">磋商地点：江苏食品药品职业技术学院招标办评标室（啤酒车间二楼206室） </w:t>
      </w:r>
    </w:p>
    <w:p>
      <w:pPr>
        <w:rPr>
          <w:rFonts w:ascii="Times New Roman" w:hAnsi="Times New Roman"/>
          <w:szCs w:val="24"/>
        </w:rPr>
      </w:pPr>
      <w:r>
        <w:rPr>
          <w:rFonts w:ascii="Times New Roman" w:hAnsi="Times New Roman"/>
          <w:b/>
          <w:szCs w:val="24"/>
        </w:rPr>
        <w:t>6、响应文件递交时间：</w:t>
      </w:r>
      <w:r>
        <w:rPr>
          <w:rFonts w:ascii="Times New Roman" w:hAnsi="Times New Roman"/>
          <w:szCs w:val="24"/>
        </w:rPr>
        <w:t>2020年</w:t>
      </w:r>
      <w:r>
        <w:rPr>
          <w:rFonts w:hint="eastAsia" w:ascii="Times New Roman" w:hAnsi="Times New Roman"/>
          <w:szCs w:val="24"/>
          <w:lang w:val="en-US" w:eastAsia="zh-CN"/>
        </w:rPr>
        <w:t>11</w:t>
      </w:r>
      <w:r>
        <w:rPr>
          <w:rFonts w:ascii="Times New Roman" w:hAnsi="Times New Roman"/>
          <w:szCs w:val="24"/>
        </w:rPr>
        <w:t>月</w:t>
      </w:r>
      <w:r>
        <w:rPr>
          <w:rFonts w:hint="eastAsia" w:ascii="Times New Roman" w:hAnsi="Times New Roman"/>
          <w:szCs w:val="24"/>
          <w:lang w:val="en-US" w:eastAsia="zh-CN"/>
        </w:rPr>
        <w:t>2</w:t>
      </w:r>
      <w:r>
        <w:rPr>
          <w:rFonts w:ascii="Times New Roman" w:hAnsi="Times New Roman"/>
          <w:szCs w:val="24"/>
        </w:rPr>
        <w:t>日</w:t>
      </w:r>
      <w:r>
        <w:rPr>
          <w:rFonts w:hint="eastAsia" w:ascii="Times New Roman" w:hAnsi="Times New Roman"/>
          <w:szCs w:val="24"/>
        </w:rPr>
        <w:t>上</w:t>
      </w:r>
      <w:r>
        <w:rPr>
          <w:rFonts w:ascii="Times New Roman" w:hAnsi="Times New Roman"/>
          <w:szCs w:val="24"/>
        </w:rPr>
        <w:t>午</w:t>
      </w:r>
      <w:r>
        <w:rPr>
          <w:rFonts w:hint="eastAsia" w:ascii="Times New Roman" w:hAnsi="Times New Roman"/>
          <w:szCs w:val="24"/>
          <w:lang w:val="en-US" w:eastAsia="zh-CN"/>
        </w:rPr>
        <w:t>9</w:t>
      </w:r>
      <w:r>
        <w:rPr>
          <w:rFonts w:ascii="Times New Roman" w:hAnsi="Times New Roman"/>
          <w:szCs w:val="24"/>
        </w:rPr>
        <w:t>：00</w:t>
      </w:r>
      <w:r>
        <w:rPr>
          <w:rFonts w:hint="eastAsia" w:ascii="Times New Roman" w:hAnsi="Times New Roman"/>
          <w:szCs w:val="24"/>
          <w:lang w:eastAsia="zh-CN"/>
        </w:rPr>
        <w:t>前</w:t>
      </w:r>
      <w:r>
        <w:rPr>
          <w:rFonts w:ascii="Times New Roman" w:hAnsi="Times New Roman"/>
          <w:szCs w:val="24"/>
        </w:rPr>
        <w:t>(北京时间)。逾期递交的响应文件恕不接受。</w:t>
      </w:r>
    </w:p>
    <w:p>
      <w:pPr>
        <w:rPr>
          <w:rFonts w:ascii="Times New Roman" w:hAnsi="Times New Roman"/>
          <w:b/>
        </w:rPr>
      </w:pPr>
      <w:r>
        <w:rPr>
          <w:rFonts w:ascii="Times New Roman" w:hAnsi="Times New Roman"/>
          <w:b/>
          <w:szCs w:val="24"/>
        </w:rPr>
        <w:t>7、</w:t>
      </w:r>
      <w:r>
        <w:rPr>
          <w:rFonts w:ascii="Times New Roman" w:hAnsi="Times New Roman"/>
          <w:b/>
        </w:rPr>
        <w:t>联系方式：</w:t>
      </w:r>
    </w:p>
    <w:p>
      <w:pPr>
        <w:tabs>
          <w:tab w:val="left" w:pos="5334"/>
        </w:tabs>
        <w:rPr>
          <w:rFonts w:ascii="Times New Roman" w:hAnsi="Times New Roman"/>
        </w:rPr>
      </w:pPr>
      <w:r>
        <w:rPr>
          <w:rFonts w:ascii="Times New Roman" w:hAnsi="Times New Roman"/>
        </w:rPr>
        <w:t>地址：江苏食品药品职业技术学院食品科技园东二楼招标办（啤酒车间二楼205室）</w:t>
      </w:r>
      <w:r>
        <w:rPr>
          <w:rFonts w:ascii="Times New Roman" w:hAnsi="Times New Roman"/>
        </w:rPr>
        <w:tab/>
      </w:r>
    </w:p>
    <w:p>
      <w:pPr>
        <w:rPr>
          <w:rFonts w:ascii="Times New Roman" w:hAnsi="Times New Roman"/>
        </w:rPr>
      </w:pPr>
      <w:r>
        <w:rPr>
          <w:rFonts w:ascii="Times New Roman" w:hAnsi="Times New Roman"/>
        </w:rPr>
        <w:t>邮编：223003</w:t>
      </w:r>
    </w:p>
    <w:p>
      <w:pPr>
        <w:rPr>
          <w:rFonts w:ascii="Times New Roman" w:hAnsi="Times New Roman"/>
        </w:rPr>
      </w:pPr>
      <w:r>
        <w:rPr>
          <w:rFonts w:ascii="Times New Roman" w:hAnsi="Times New Roman"/>
        </w:rPr>
        <w:t>E-mail: spxyzzb@jsfpc.edu.cn</w:t>
      </w:r>
    </w:p>
    <w:p>
      <w:pPr>
        <w:rPr>
          <w:rFonts w:hint="default" w:ascii="Times New Roman" w:hAnsi="Times New Roman" w:eastAsia="宋体"/>
          <w:lang w:val="en-US" w:eastAsia="zh-CN"/>
        </w:rPr>
      </w:pPr>
      <w:r>
        <w:rPr>
          <w:rFonts w:ascii="Times New Roman" w:hAnsi="Times New Roman"/>
        </w:rPr>
        <w:t>电话：0517-870881</w:t>
      </w:r>
      <w:r>
        <w:rPr>
          <w:rFonts w:hint="eastAsia" w:ascii="Times New Roman" w:hAnsi="Times New Roman"/>
          <w:lang w:val="en-US" w:eastAsia="zh-CN"/>
        </w:rPr>
        <w:t>28</w:t>
      </w:r>
    </w:p>
    <w:p>
      <w:pPr>
        <w:rPr>
          <w:rFonts w:hint="eastAsia" w:ascii="Times New Roman" w:hAnsi="Times New Roman" w:eastAsia="宋体"/>
          <w:lang w:eastAsia="zh-CN"/>
        </w:rPr>
      </w:pPr>
      <w:r>
        <w:rPr>
          <w:rFonts w:ascii="Times New Roman" w:hAnsi="Times New Roman"/>
        </w:rPr>
        <w:t>联系人：</w:t>
      </w:r>
      <w:bookmarkEnd w:id="3"/>
      <w:r>
        <w:rPr>
          <w:rFonts w:hint="eastAsia" w:ascii="Times New Roman" w:hAnsi="Times New Roman"/>
          <w:lang w:eastAsia="zh-CN"/>
        </w:rPr>
        <w:t>黄老师</w:t>
      </w:r>
    </w:p>
    <w:p>
      <w:pPr>
        <w:rPr>
          <w:rFonts w:ascii="Times New Roman" w:hAnsi="Times New Roman"/>
          <w:b/>
        </w:rPr>
      </w:pPr>
      <w:r>
        <w:rPr>
          <w:rFonts w:ascii="Times New Roman" w:hAnsi="Times New Roman"/>
          <w:b/>
          <w:kern w:val="0"/>
        </w:rPr>
        <w:t>8、</w:t>
      </w:r>
      <w:r>
        <w:rPr>
          <w:rFonts w:ascii="Times New Roman" w:hAnsi="Times New Roman"/>
          <w:b/>
        </w:rPr>
        <w:t>其它补充事宜:</w:t>
      </w:r>
    </w:p>
    <w:p>
      <w:pPr>
        <w:rPr>
          <w:rFonts w:ascii="Times New Roman" w:hAnsi="Times New Roman"/>
        </w:rPr>
      </w:pPr>
      <w:r>
        <w:rPr>
          <w:rFonts w:ascii="Times New Roman" w:hAnsi="Times New Roman"/>
          <w:kern w:val="0"/>
        </w:rPr>
        <w:t>供应商应在规定时间前将密封的响应文件送达，逾期收到或不符合规定的响应文件恕不接受。</w:t>
      </w:r>
    </w:p>
    <w:bookmarkEnd w:id="4"/>
    <w:p>
      <w:pPr>
        <w:widowControl/>
        <w:rPr>
          <w:rFonts w:ascii="Times New Roman" w:hAnsi="Times New Roman"/>
        </w:rPr>
      </w:pPr>
    </w:p>
    <w:bookmarkEnd w:id="2"/>
    <w:p>
      <w:pPr>
        <w:pageBreakBefore/>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pStyle w:val="2"/>
        <w:spacing w:before="120" w:after="120"/>
        <w:rPr>
          <w:rFonts w:ascii="Times New Roman" w:hAnsi="Times New Roman"/>
          <w:color w:val="auto"/>
        </w:rPr>
      </w:pPr>
      <w:bookmarkStart w:id="5" w:name="_Toc436256498"/>
      <w:bookmarkStart w:id="6" w:name="_Toc41576444"/>
      <w:r>
        <w:rPr>
          <w:rFonts w:ascii="Times New Roman" w:hAnsi="Times New Roman"/>
          <w:color w:val="auto"/>
        </w:rPr>
        <w:t>第二章 供应商须知前附表</w:t>
      </w:r>
      <w:bookmarkEnd w:id="5"/>
      <w:bookmarkEnd w:id="6"/>
    </w:p>
    <w:p>
      <w:pPr>
        <w:spacing w:line="440" w:lineRule="exact"/>
        <w:ind w:firstLine="480"/>
        <w:rPr>
          <w:rFonts w:ascii="Times New Roman" w:hAnsi="Times New Roman"/>
        </w:rPr>
      </w:pPr>
      <w:r>
        <w:rPr>
          <w:rFonts w:ascii="Times New Roman" w:hAnsi="Times New Roman"/>
        </w:rPr>
        <w:t>本表是关于项目的具体资料，是对供应商须知的具体补充和修改，如有矛盾，应以本资料表为准。</w:t>
      </w:r>
    </w:p>
    <w:p>
      <w:pPr>
        <w:rPr>
          <w:rFonts w:ascii="Times New Roman" w:hAnsi="Times New Roman"/>
        </w:rPr>
      </w:pPr>
    </w:p>
    <w:p>
      <w:pPr>
        <w:rPr>
          <w:rFonts w:ascii="Times New Roman" w:hAnsi="Times New Roman"/>
        </w:rPr>
      </w:pPr>
    </w:p>
    <w:p>
      <w:pPr>
        <w:rPr>
          <w:rFonts w:ascii="Times New Roman" w:hAnsi="Times New Roman"/>
          <w:b/>
          <w:bCs/>
          <w:sz w:val="36"/>
          <w:szCs w:val="36"/>
        </w:rPr>
        <w:sectPr>
          <w:footerReference r:id="rId9" w:type="default"/>
          <w:type w:val="nextColumn"/>
          <w:pgSz w:w="11907" w:h="16840"/>
          <w:pgMar w:top="1134" w:right="1134" w:bottom="1134" w:left="1134" w:header="850" w:footer="680" w:gutter="0"/>
          <w:cols w:space="720" w:num="1"/>
          <w:docGrid w:linePitch="326" w:charSpace="0"/>
        </w:sectPr>
      </w:pPr>
    </w:p>
    <w:p>
      <w:pPr>
        <w:pStyle w:val="3"/>
        <w:rPr>
          <w:rFonts w:ascii="Times New Roman" w:hAnsi="Times New Roman"/>
        </w:rPr>
      </w:pPr>
      <w:bookmarkStart w:id="7" w:name="_Toc436256499"/>
      <w:r>
        <w:rPr>
          <w:rFonts w:ascii="Times New Roman" w:hAnsi="Times New Roman"/>
        </w:rPr>
        <w:t>一、供应商须知前附表</w:t>
      </w:r>
      <w:bookmarkEnd w:id="7"/>
    </w:p>
    <w:tbl>
      <w:tblPr>
        <w:tblStyle w:val="51"/>
        <w:tblW w:w="99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986"/>
        <w:gridCol w:w="70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1" w:type="dxa"/>
            <w:vAlign w:val="center"/>
          </w:tcPr>
          <w:p>
            <w:pPr>
              <w:spacing w:line="240" w:lineRule="atLeast"/>
              <w:jc w:val="center"/>
              <w:rPr>
                <w:rFonts w:ascii="Times New Roman" w:hAnsi="Times New Roman"/>
                <w:b/>
              </w:rPr>
            </w:pPr>
            <w:r>
              <w:rPr>
                <w:rFonts w:ascii="Times New Roman" w:hAnsi="Times New Roman"/>
                <w:b/>
              </w:rPr>
              <w:t>序号</w:t>
            </w:r>
          </w:p>
        </w:tc>
        <w:tc>
          <w:tcPr>
            <w:tcW w:w="1986" w:type="dxa"/>
            <w:vAlign w:val="center"/>
          </w:tcPr>
          <w:p>
            <w:pPr>
              <w:spacing w:line="240" w:lineRule="atLeast"/>
              <w:jc w:val="center"/>
              <w:rPr>
                <w:rFonts w:ascii="Times New Roman" w:hAnsi="Times New Roman"/>
                <w:b/>
              </w:rPr>
            </w:pPr>
            <w:r>
              <w:rPr>
                <w:rFonts w:ascii="Times New Roman" w:hAnsi="Times New Roman"/>
                <w:b/>
              </w:rPr>
              <w:t>内容</w:t>
            </w:r>
          </w:p>
        </w:tc>
        <w:tc>
          <w:tcPr>
            <w:tcW w:w="7086" w:type="dxa"/>
            <w:vAlign w:val="center"/>
          </w:tcPr>
          <w:p>
            <w:pPr>
              <w:spacing w:line="240" w:lineRule="atLeast"/>
              <w:jc w:val="center"/>
              <w:rPr>
                <w:rFonts w:ascii="Times New Roman" w:hAnsi="Times New Roman"/>
                <w:b/>
              </w:rPr>
            </w:pPr>
            <w:r>
              <w:rPr>
                <w:rFonts w:ascii="Times New Roman" w:hAnsi="Times New Roman"/>
                <w:b/>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Align w:val="center"/>
          </w:tcPr>
          <w:p>
            <w:pPr>
              <w:spacing w:line="240" w:lineRule="atLeast"/>
              <w:jc w:val="center"/>
              <w:rPr>
                <w:rFonts w:ascii="Times New Roman" w:hAnsi="Times New Roman"/>
                <w:sz w:val="21"/>
                <w:szCs w:val="21"/>
              </w:rPr>
            </w:pPr>
            <w:r>
              <w:rPr>
                <w:rFonts w:ascii="Times New Roman" w:hAnsi="Times New Roman"/>
                <w:sz w:val="21"/>
                <w:szCs w:val="21"/>
              </w:rPr>
              <w:t>1.1</w:t>
            </w:r>
          </w:p>
        </w:tc>
        <w:tc>
          <w:tcPr>
            <w:tcW w:w="1986" w:type="dxa"/>
            <w:vAlign w:val="center"/>
          </w:tcPr>
          <w:p>
            <w:pPr>
              <w:spacing w:line="240" w:lineRule="atLeast"/>
              <w:jc w:val="center"/>
              <w:rPr>
                <w:rFonts w:ascii="Times New Roman" w:hAnsi="Times New Roman"/>
                <w:sz w:val="21"/>
                <w:szCs w:val="21"/>
              </w:rPr>
            </w:pPr>
            <w:r>
              <w:rPr>
                <w:rFonts w:ascii="Times New Roman" w:hAnsi="Times New Roman"/>
                <w:sz w:val="21"/>
                <w:szCs w:val="21"/>
              </w:rPr>
              <w:t>项目名称</w:t>
            </w:r>
          </w:p>
        </w:tc>
        <w:tc>
          <w:tcPr>
            <w:tcW w:w="7086" w:type="dxa"/>
            <w:vAlign w:val="center"/>
          </w:tcPr>
          <w:p>
            <w:pPr>
              <w:spacing w:line="240" w:lineRule="atLeast"/>
              <w:jc w:val="both"/>
              <w:rPr>
                <w:rFonts w:hint="eastAsia" w:ascii="Times New Roman" w:hAnsi="Times New Roman" w:eastAsia="宋体"/>
                <w:sz w:val="21"/>
                <w:szCs w:val="21"/>
                <w:lang w:eastAsia="zh-CN"/>
              </w:rPr>
            </w:pPr>
            <w:r>
              <w:rPr>
                <w:rFonts w:hint="eastAsia" w:ascii="Times New Roman" w:hAnsi="Times New Roman"/>
                <w:sz w:val="21"/>
                <w:szCs w:val="21"/>
                <w:lang w:eastAsia="zh-CN"/>
              </w:rPr>
              <w:t>学生公寓洗衣机投资经营服务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Align w:val="center"/>
          </w:tcPr>
          <w:p>
            <w:pPr>
              <w:spacing w:line="240" w:lineRule="atLeast"/>
              <w:jc w:val="center"/>
              <w:rPr>
                <w:rFonts w:ascii="Times New Roman" w:hAnsi="Times New Roman"/>
                <w:sz w:val="21"/>
                <w:szCs w:val="21"/>
              </w:rPr>
            </w:pPr>
            <w:r>
              <w:rPr>
                <w:rFonts w:ascii="Times New Roman" w:hAnsi="Times New Roman"/>
                <w:sz w:val="21"/>
                <w:szCs w:val="21"/>
              </w:rPr>
              <w:t>1.2</w:t>
            </w:r>
          </w:p>
        </w:tc>
        <w:tc>
          <w:tcPr>
            <w:tcW w:w="1986" w:type="dxa"/>
            <w:vAlign w:val="center"/>
          </w:tcPr>
          <w:p>
            <w:pPr>
              <w:spacing w:line="240" w:lineRule="atLeast"/>
              <w:jc w:val="center"/>
              <w:rPr>
                <w:rFonts w:ascii="Times New Roman" w:hAnsi="Times New Roman"/>
                <w:sz w:val="21"/>
                <w:szCs w:val="21"/>
              </w:rPr>
            </w:pPr>
            <w:r>
              <w:rPr>
                <w:rFonts w:ascii="Times New Roman" w:hAnsi="Times New Roman"/>
                <w:sz w:val="21"/>
                <w:szCs w:val="21"/>
              </w:rPr>
              <w:t>采购人</w:t>
            </w:r>
          </w:p>
        </w:tc>
        <w:tc>
          <w:tcPr>
            <w:tcW w:w="7086" w:type="dxa"/>
            <w:vAlign w:val="center"/>
          </w:tcPr>
          <w:p>
            <w:pPr>
              <w:tabs>
                <w:tab w:val="left" w:pos="3737"/>
              </w:tabs>
              <w:spacing w:line="240" w:lineRule="atLeast"/>
              <w:rPr>
                <w:rFonts w:ascii="Times New Roman" w:hAnsi="Times New Roman"/>
                <w:sz w:val="21"/>
                <w:szCs w:val="21"/>
              </w:rPr>
            </w:pPr>
            <w:r>
              <w:rPr>
                <w:rFonts w:ascii="Times New Roman" w:hAnsi="Times New Roman"/>
                <w:sz w:val="21"/>
                <w:szCs w:val="21"/>
              </w:rPr>
              <w:t>采购人名称：江苏食品药品职业技术学院</w:t>
            </w:r>
          </w:p>
          <w:p>
            <w:pPr>
              <w:tabs>
                <w:tab w:val="left" w:pos="3737"/>
              </w:tabs>
              <w:spacing w:line="240" w:lineRule="atLeast"/>
              <w:rPr>
                <w:rFonts w:ascii="Times New Roman" w:hAnsi="Times New Roman"/>
                <w:sz w:val="21"/>
                <w:szCs w:val="21"/>
              </w:rPr>
            </w:pPr>
            <w:r>
              <w:rPr>
                <w:rFonts w:ascii="Times New Roman" w:hAnsi="Times New Roman"/>
                <w:sz w:val="21"/>
                <w:szCs w:val="21"/>
              </w:rPr>
              <w:t>详细地址：江苏省淮安市枚乘东路4号</w:t>
            </w:r>
          </w:p>
          <w:p>
            <w:pPr>
              <w:tabs>
                <w:tab w:val="left" w:pos="3737"/>
              </w:tabs>
              <w:spacing w:line="240" w:lineRule="atLeast"/>
              <w:rPr>
                <w:rFonts w:ascii="Times New Roman" w:hAnsi="Times New Roman"/>
                <w:sz w:val="21"/>
                <w:szCs w:val="21"/>
              </w:rPr>
            </w:pPr>
            <w:r>
              <w:rPr>
                <w:rFonts w:ascii="Times New Roman" w:hAnsi="Times New Roman"/>
                <w:sz w:val="21"/>
                <w:szCs w:val="21"/>
              </w:rPr>
              <w:t>联系方式：</w:t>
            </w:r>
            <w:r>
              <w:rPr>
                <w:rFonts w:hint="eastAsia" w:ascii="Times New Roman" w:hAnsi="Times New Roman"/>
                <w:sz w:val="21"/>
                <w:szCs w:val="21"/>
                <w:lang w:eastAsia="zh-CN"/>
              </w:rPr>
              <w:t>黄老师</w:t>
            </w:r>
            <w:r>
              <w:rPr>
                <w:rFonts w:ascii="Times New Roman" w:hAnsi="Times New Roman"/>
                <w:sz w:val="21"/>
                <w:szCs w:val="21"/>
              </w:rPr>
              <w:t>0517-870881</w:t>
            </w:r>
            <w:r>
              <w:rPr>
                <w:rFonts w:hint="eastAsia" w:ascii="Times New Roman" w:hAnsi="Times New Roman"/>
                <w:sz w:val="21"/>
                <w:szCs w:val="21"/>
                <w:lang w:val="en-US" w:eastAsia="zh-CN"/>
              </w:rPr>
              <w:t>28</w:t>
            </w:r>
            <w:r>
              <w:rPr>
                <w:rFonts w:ascii="Times New Roman" w:hAnsi="Times New Roman"/>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Align w:val="center"/>
          </w:tcPr>
          <w:p>
            <w:pPr>
              <w:spacing w:line="240" w:lineRule="atLeast"/>
              <w:jc w:val="center"/>
              <w:rPr>
                <w:rFonts w:ascii="Times New Roman" w:hAnsi="Times New Roman"/>
                <w:sz w:val="21"/>
                <w:szCs w:val="21"/>
              </w:rPr>
            </w:pPr>
            <w:r>
              <w:rPr>
                <w:rFonts w:ascii="Times New Roman" w:hAnsi="Times New Roman"/>
                <w:sz w:val="21"/>
                <w:szCs w:val="21"/>
              </w:rPr>
              <w:t>1.3</w:t>
            </w:r>
          </w:p>
        </w:tc>
        <w:tc>
          <w:tcPr>
            <w:tcW w:w="1986" w:type="dxa"/>
            <w:vAlign w:val="center"/>
          </w:tcPr>
          <w:p>
            <w:pPr>
              <w:spacing w:line="240" w:lineRule="atLeast"/>
              <w:jc w:val="center"/>
              <w:rPr>
                <w:rFonts w:ascii="Times New Roman" w:hAnsi="Times New Roman"/>
                <w:sz w:val="21"/>
                <w:szCs w:val="21"/>
              </w:rPr>
            </w:pPr>
            <w:r>
              <w:rPr>
                <w:rFonts w:ascii="Times New Roman" w:hAnsi="Times New Roman"/>
                <w:sz w:val="21"/>
                <w:szCs w:val="21"/>
              </w:rPr>
              <w:t>采购内容</w:t>
            </w:r>
          </w:p>
        </w:tc>
        <w:tc>
          <w:tcPr>
            <w:tcW w:w="7086" w:type="dxa"/>
            <w:vAlign w:val="center"/>
          </w:tcPr>
          <w:p>
            <w:pPr>
              <w:pStyle w:val="180"/>
              <w:spacing w:line="240" w:lineRule="atLeast"/>
              <w:rPr>
                <w:rFonts w:hint="eastAsia" w:ascii="Times New Roman" w:hAnsi="Times New Roman" w:eastAsia="宋体"/>
                <w:sz w:val="21"/>
                <w:szCs w:val="21"/>
                <w:lang w:eastAsia="zh-CN"/>
              </w:rPr>
            </w:pPr>
            <w:r>
              <w:rPr>
                <w:rFonts w:hint="eastAsia" w:ascii="Times New Roman" w:hAnsi="Times New Roman"/>
                <w:sz w:val="21"/>
                <w:szCs w:val="21"/>
                <w:lang w:eastAsia="zh-CN"/>
              </w:rPr>
              <w:t>学生公寓洗衣机投资经营服务</w:t>
            </w:r>
            <w:r>
              <w:rPr>
                <w:rFonts w:ascii="Times New Roman" w:hAnsi="Times New Roman"/>
                <w:sz w:val="21"/>
                <w:szCs w:val="21"/>
              </w:rPr>
              <w:t>，详见</w:t>
            </w:r>
            <w:r>
              <w:rPr>
                <w:rFonts w:hint="eastAsia" w:ascii="Times New Roman" w:hAnsi="Times New Roman"/>
                <w:sz w:val="21"/>
                <w:szCs w:val="21"/>
                <w:lang w:eastAsia="zh-CN"/>
              </w:rPr>
              <w:t>项目需求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Align w:val="center"/>
          </w:tcPr>
          <w:p>
            <w:pPr>
              <w:spacing w:line="240" w:lineRule="atLeast"/>
              <w:jc w:val="center"/>
              <w:rPr>
                <w:rFonts w:ascii="Times New Roman" w:hAnsi="Times New Roman"/>
                <w:sz w:val="21"/>
                <w:szCs w:val="21"/>
              </w:rPr>
            </w:pPr>
            <w:r>
              <w:rPr>
                <w:rFonts w:ascii="Times New Roman" w:hAnsi="Times New Roman"/>
                <w:sz w:val="21"/>
                <w:szCs w:val="21"/>
              </w:rPr>
              <w:t>2.1</w:t>
            </w:r>
          </w:p>
        </w:tc>
        <w:tc>
          <w:tcPr>
            <w:tcW w:w="1986" w:type="dxa"/>
            <w:vAlign w:val="center"/>
          </w:tcPr>
          <w:p>
            <w:pPr>
              <w:spacing w:line="240" w:lineRule="atLeast"/>
              <w:jc w:val="center"/>
              <w:rPr>
                <w:rFonts w:ascii="Times New Roman" w:hAnsi="Times New Roman"/>
                <w:sz w:val="21"/>
                <w:szCs w:val="21"/>
              </w:rPr>
            </w:pPr>
            <w:r>
              <w:rPr>
                <w:rFonts w:ascii="Times New Roman" w:hAnsi="Times New Roman"/>
                <w:sz w:val="21"/>
                <w:szCs w:val="21"/>
              </w:rPr>
              <w:t>采购范围</w:t>
            </w:r>
          </w:p>
        </w:tc>
        <w:tc>
          <w:tcPr>
            <w:tcW w:w="7086" w:type="dxa"/>
            <w:vAlign w:val="center"/>
          </w:tcPr>
          <w:p>
            <w:pPr>
              <w:spacing w:line="240" w:lineRule="atLeast"/>
              <w:rPr>
                <w:rFonts w:ascii="Times New Roman" w:hAnsi="Times New Roman"/>
                <w:sz w:val="21"/>
                <w:szCs w:val="21"/>
              </w:rPr>
            </w:pPr>
            <w:r>
              <w:rPr>
                <w:rFonts w:ascii="Times New Roman" w:hAnsi="Times New Roman"/>
                <w:sz w:val="21"/>
                <w:szCs w:val="21"/>
              </w:rPr>
              <w:t>江苏食品药品职业技术学院</w:t>
            </w:r>
            <w:r>
              <w:rPr>
                <w:rFonts w:hint="eastAsia" w:ascii="Times New Roman" w:hAnsi="Times New Roman"/>
                <w:sz w:val="21"/>
                <w:szCs w:val="21"/>
                <w:lang w:eastAsia="zh-CN"/>
              </w:rPr>
              <w:t>学生公寓洗衣机投资经营服务</w:t>
            </w:r>
            <w:r>
              <w:rPr>
                <w:rFonts w:ascii="Times New Roman" w:hAnsi="Times New Roman"/>
                <w:sz w:val="21"/>
                <w:szCs w:val="21"/>
              </w:rPr>
              <w:t>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Align w:val="center"/>
          </w:tcPr>
          <w:p>
            <w:pPr>
              <w:pStyle w:val="180"/>
              <w:spacing w:line="240" w:lineRule="atLeast"/>
              <w:jc w:val="center"/>
              <w:rPr>
                <w:rFonts w:ascii="Times New Roman" w:hAnsi="Times New Roman"/>
                <w:sz w:val="21"/>
                <w:szCs w:val="21"/>
              </w:rPr>
            </w:pPr>
            <w:r>
              <w:rPr>
                <w:rFonts w:ascii="Times New Roman" w:hAnsi="Times New Roman"/>
                <w:sz w:val="21"/>
                <w:szCs w:val="21"/>
              </w:rPr>
              <w:t>3.1</w:t>
            </w:r>
          </w:p>
        </w:tc>
        <w:tc>
          <w:tcPr>
            <w:tcW w:w="1986" w:type="dxa"/>
            <w:vAlign w:val="center"/>
          </w:tcPr>
          <w:p>
            <w:pPr>
              <w:pStyle w:val="180"/>
              <w:spacing w:line="240" w:lineRule="atLeast"/>
              <w:jc w:val="center"/>
              <w:rPr>
                <w:rFonts w:ascii="Times New Roman" w:hAnsi="Times New Roman"/>
                <w:sz w:val="21"/>
                <w:szCs w:val="21"/>
              </w:rPr>
            </w:pPr>
            <w:r>
              <w:rPr>
                <w:rFonts w:ascii="Times New Roman" w:hAnsi="Times New Roman"/>
                <w:sz w:val="21"/>
                <w:szCs w:val="21"/>
              </w:rPr>
              <w:t>资金来源</w:t>
            </w:r>
          </w:p>
        </w:tc>
        <w:tc>
          <w:tcPr>
            <w:tcW w:w="7086" w:type="dxa"/>
            <w:vAlign w:val="center"/>
          </w:tcPr>
          <w:p>
            <w:pPr>
              <w:spacing w:line="240" w:lineRule="atLeast"/>
              <w:rPr>
                <w:rFonts w:hint="eastAsia" w:ascii="Times New Roman" w:hAnsi="Times New Roman" w:eastAsia="宋体"/>
                <w:sz w:val="21"/>
                <w:szCs w:val="21"/>
                <w:lang w:eastAsia="zh-CN"/>
              </w:rPr>
            </w:pPr>
            <w:r>
              <w:rPr>
                <w:rFonts w:hint="eastAsia" w:ascii="Times New Roman" w:hAnsi="Times New Roman"/>
                <w:sz w:val="21"/>
                <w:szCs w:val="21"/>
                <w:lang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Align w:val="center"/>
          </w:tcPr>
          <w:p>
            <w:pPr>
              <w:spacing w:line="240" w:lineRule="atLeast"/>
              <w:jc w:val="center"/>
              <w:rPr>
                <w:rFonts w:ascii="Times New Roman" w:hAnsi="Times New Roman"/>
                <w:sz w:val="21"/>
                <w:szCs w:val="21"/>
              </w:rPr>
            </w:pPr>
            <w:r>
              <w:rPr>
                <w:rFonts w:ascii="Times New Roman" w:hAnsi="Times New Roman"/>
                <w:sz w:val="21"/>
                <w:szCs w:val="21"/>
              </w:rPr>
              <w:t>3.2</w:t>
            </w:r>
          </w:p>
        </w:tc>
        <w:tc>
          <w:tcPr>
            <w:tcW w:w="1986" w:type="dxa"/>
            <w:vAlign w:val="center"/>
          </w:tcPr>
          <w:p>
            <w:pPr>
              <w:spacing w:line="240" w:lineRule="atLeast"/>
              <w:jc w:val="center"/>
              <w:rPr>
                <w:rFonts w:hint="eastAsia" w:ascii="Times New Roman" w:hAnsi="Times New Roman" w:eastAsia="宋体"/>
                <w:sz w:val="21"/>
                <w:szCs w:val="21"/>
                <w:lang w:eastAsia="zh-CN"/>
              </w:rPr>
            </w:pPr>
            <w:r>
              <w:rPr>
                <w:rFonts w:hint="eastAsia" w:ascii="Times New Roman" w:hAnsi="Times New Roman"/>
                <w:sz w:val="21"/>
                <w:szCs w:val="21"/>
                <w:lang w:eastAsia="zh-CN"/>
              </w:rPr>
              <w:t>最低限价</w:t>
            </w:r>
          </w:p>
        </w:tc>
        <w:tc>
          <w:tcPr>
            <w:tcW w:w="7086" w:type="dxa"/>
            <w:vAlign w:val="center"/>
          </w:tcPr>
          <w:p>
            <w:pPr>
              <w:spacing w:line="240" w:lineRule="atLeast"/>
              <w:rPr>
                <w:rFonts w:hint="default" w:ascii="Times New Roman" w:hAnsi="Times New Roman" w:eastAsia="宋体"/>
                <w:sz w:val="21"/>
                <w:szCs w:val="21"/>
                <w:lang w:val="en-US" w:eastAsia="zh-CN"/>
              </w:rPr>
            </w:pPr>
            <w:r>
              <w:rPr>
                <w:rFonts w:hint="eastAsia" w:ascii="Times New Roman" w:hAnsi="Times New Roman"/>
                <w:sz w:val="21"/>
                <w:szCs w:val="21"/>
                <w:lang w:val="en-US" w:eastAsia="zh-CN"/>
              </w:rPr>
              <w:t>104825元人民币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Align w:val="center"/>
          </w:tcPr>
          <w:p>
            <w:pPr>
              <w:spacing w:line="240" w:lineRule="atLeast"/>
              <w:jc w:val="center"/>
              <w:rPr>
                <w:rFonts w:ascii="Times New Roman" w:hAnsi="Times New Roman"/>
                <w:sz w:val="21"/>
                <w:szCs w:val="21"/>
              </w:rPr>
            </w:pPr>
            <w:r>
              <w:rPr>
                <w:rFonts w:ascii="Times New Roman" w:hAnsi="Times New Roman"/>
                <w:sz w:val="21"/>
                <w:szCs w:val="21"/>
              </w:rPr>
              <w:t>4.1</w:t>
            </w:r>
          </w:p>
        </w:tc>
        <w:tc>
          <w:tcPr>
            <w:tcW w:w="1986" w:type="dxa"/>
            <w:vAlign w:val="center"/>
          </w:tcPr>
          <w:p>
            <w:pPr>
              <w:spacing w:line="240" w:lineRule="atLeast"/>
              <w:jc w:val="center"/>
              <w:rPr>
                <w:rFonts w:ascii="Times New Roman" w:hAnsi="Times New Roman"/>
                <w:sz w:val="21"/>
                <w:szCs w:val="21"/>
              </w:rPr>
            </w:pPr>
            <w:r>
              <w:rPr>
                <w:rFonts w:ascii="Times New Roman" w:hAnsi="Times New Roman"/>
                <w:sz w:val="21"/>
                <w:szCs w:val="21"/>
              </w:rPr>
              <w:t>供应商</w:t>
            </w:r>
          </w:p>
          <w:p>
            <w:pPr>
              <w:spacing w:line="240" w:lineRule="atLeast"/>
              <w:jc w:val="center"/>
              <w:rPr>
                <w:rFonts w:ascii="Times New Roman" w:hAnsi="Times New Roman"/>
                <w:sz w:val="21"/>
                <w:szCs w:val="21"/>
              </w:rPr>
            </w:pPr>
            <w:r>
              <w:rPr>
                <w:rFonts w:ascii="Times New Roman" w:hAnsi="Times New Roman"/>
                <w:sz w:val="21"/>
                <w:szCs w:val="21"/>
              </w:rPr>
              <w:t>资格要求</w:t>
            </w:r>
          </w:p>
        </w:tc>
        <w:tc>
          <w:tcPr>
            <w:tcW w:w="7086" w:type="dxa"/>
            <w:vAlign w:val="center"/>
          </w:tcPr>
          <w:p>
            <w:pPr>
              <w:spacing w:line="240" w:lineRule="atLeast"/>
              <w:rPr>
                <w:rFonts w:ascii="Times New Roman" w:hAnsi="Times New Roman"/>
                <w:sz w:val="21"/>
                <w:szCs w:val="21"/>
              </w:rPr>
            </w:pPr>
            <w:r>
              <w:rPr>
                <w:rFonts w:ascii="Times New Roman" w:hAnsi="Times New Roman"/>
                <w:sz w:val="21"/>
                <w:szCs w:val="21"/>
              </w:rPr>
              <w:t xml:space="preserve">1）供应商应当具备政府采购法第二十二条第一款规定的条件，提供下列材料： </w:t>
            </w:r>
          </w:p>
          <w:p>
            <w:pPr>
              <w:spacing w:line="240" w:lineRule="atLeast"/>
              <w:rPr>
                <w:rFonts w:ascii="Times New Roman" w:hAnsi="Times New Roman"/>
                <w:sz w:val="21"/>
                <w:szCs w:val="21"/>
              </w:rPr>
            </w:pPr>
            <w:r>
              <w:rPr>
                <w:rFonts w:hint="eastAsia" w:ascii="Times New Roman" w:hAnsi="Times New Roman"/>
                <w:sz w:val="21"/>
                <w:szCs w:val="21"/>
              </w:rPr>
              <w:t>（一）法人或者其他组织的营业执照等证明文件；</w:t>
            </w:r>
            <w:r>
              <w:rPr>
                <w:rFonts w:ascii="Times New Roman" w:hAnsi="Times New Roman"/>
                <w:sz w:val="21"/>
                <w:szCs w:val="21"/>
              </w:rPr>
              <w:t xml:space="preserve"> </w:t>
            </w:r>
          </w:p>
          <w:p>
            <w:pPr>
              <w:spacing w:line="240" w:lineRule="atLeast"/>
              <w:rPr>
                <w:rFonts w:ascii="Times New Roman" w:hAnsi="Times New Roman"/>
                <w:sz w:val="21"/>
                <w:szCs w:val="21"/>
              </w:rPr>
            </w:pPr>
            <w:r>
              <w:rPr>
                <w:rFonts w:hint="eastAsia" w:ascii="Times New Roman" w:hAnsi="Times New Roman"/>
                <w:sz w:val="21"/>
                <w:szCs w:val="21"/>
              </w:rPr>
              <w:t>（二）财务状况报告，依法缴纳税收和社会保障资金的相关材料；</w:t>
            </w:r>
            <w:r>
              <w:rPr>
                <w:rFonts w:ascii="Times New Roman" w:hAnsi="Times New Roman"/>
                <w:sz w:val="21"/>
                <w:szCs w:val="21"/>
              </w:rPr>
              <w:t xml:space="preserve"> </w:t>
            </w:r>
          </w:p>
          <w:p>
            <w:pPr>
              <w:spacing w:line="240" w:lineRule="atLeast"/>
              <w:rPr>
                <w:rFonts w:ascii="Times New Roman" w:hAnsi="Times New Roman"/>
                <w:sz w:val="21"/>
                <w:szCs w:val="21"/>
              </w:rPr>
            </w:pPr>
            <w:r>
              <w:rPr>
                <w:rFonts w:hint="eastAsia" w:ascii="Times New Roman" w:hAnsi="Times New Roman"/>
                <w:sz w:val="21"/>
                <w:szCs w:val="21"/>
              </w:rPr>
              <w:t>（三）具备履行合同所必需的设备和专业技术能力的证明材料</w:t>
            </w:r>
            <w:r>
              <w:rPr>
                <w:rFonts w:hint="eastAsia" w:ascii="Times New Roman" w:hAnsi="Times New Roman"/>
                <w:sz w:val="21"/>
                <w:szCs w:val="21"/>
                <w:lang w:eastAsia="zh-CN"/>
              </w:rPr>
              <w:t>（提供承诺书）</w:t>
            </w:r>
            <w:r>
              <w:rPr>
                <w:rFonts w:hint="eastAsia" w:ascii="Times New Roman" w:hAnsi="Times New Roman"/>
                <w:sz w:val="21"/>
                <w:szCs w:val="21"/>
              </w:rPr>
              <w:t>；</w:t>
            </w:r>
            <w:r>
              <w:rPr>
                <w:rFonts w:ascii="Times New Roman" w:hAnsi="Times New Roman"/>
                <w:sz w:val="21"/>
                <w:szCs w:val="21"/>
              </w:rPr>
              <w:t xml:space="preserve"> </w:t>
            </w:r>
          </w:p>
          <w:p>
            <w:pPr>
              <w:spacing w:line="240" w:lineRule="atLeast"/>
              <w:rPr>
                <w:rFonts w:ascii="Times New Roman" w:hAnsi="Times New Roman"/>
                <w:sz w:val="21"/>
                <w:szCs w:val="21"/>
              </w:rPr>
            </w:pPr>
            <w:r>
              <w:rPr>
                <w:rFonts w:hint="eastAsia" w:ascii="Times New Roman" w:hAnsi="Times New Roman"/>
                <w:sz w:val="21"/>
                <w:szCs w:val="21"/>
              </w:rPr>
              <w:t>（四）参加政府采购活动前</w:t>
            </w:r>
            <w:r>
              <w:rPr>
                <w:rFonts w:ascii="Times New Roman" w:hAnsi="Times New Roman"/>
                <w:sz w:val="21"/>
                <w:szCs w:val="21"/>
              </w:rPr>
              <w:t xml:space="preserve">3年内在经营活动中没有重大违法记录的书面声明； </w:t>
            </w:r>
          </w:p>
          <w:p>
            <w:pPr>
              <w:spacing w:line="240" w:lineRule="atLeast"/>
              <w:rPr>
                <w:rFonts w:ascii="Times New Roman" w:hAnsi="Times New Roman"/>
                <w:sz w:val="21"/>
                <w:szCs w:val="21"/>
              </w:rPr>
            </w:pPr>
            <w:r>
              <w:rPr>
                <w:rFonts w:hint="eastAsia" w:ascii="Times New Roman" w:hAnsi="Times New Roman"/>
                <w:sz w:val="21"/>
                <w:szCs w:val="21"/>
              </w:rPr>
              <w:t>（五）具备法律、行政法规规定的其他条件的证明材料；</w:t>
            </w:r>
          </w:p>
          <w:p>
            <w:pPr>
              <w:spacing w:line="240" w:lineRule="atLeast"/>
              <w:rPr>
                <w:rFonts w:ascii="Times New Roman" w:hAnsi="Times New Roman"/>
                <w:sz w:val="21"/>
                <w:szCs w:val="21"/>
              </w:rPr>
            </w:pPr>
            <w:r>
              <w:rPr>
                <w:rFonts w:ascii="Times New Roman" w:hAnsi="Times New Roman"/>
                <w:sz w:val="21"/>
                <w:szCs w:val="21"/>
              </w:rPr>
              <w:t>2）供应商</w:t>
            </w:r>
            <w:r>
              <w:rPr>
                <w:rFonts w:hint="eastAsia" w:ascii="Times New Roman" w:hAnsi="Times New Roman"/>
                <w:sz w:val="21"/>
                <w:szCs w:val="21"/>
                <w:lang w:eastAsia="zh-CN"/>
              </w:rPr>
              <w:t>的营业执照</w:t>
            </w:r>
            <w:r>
              <w:rPr>
                <w:rFonts w:ascii="Times New Roman" w:hAnsi="Times New Roman"/>
                <w:sz w:val="21"/>
                <w:szCs w:val="21"/>
              </w:rPr>
              <w:t>应当具</w:t>
            </w:r>
            <w:r>
              <w:rPr>
                <w:rFonts w:hint="eastAsia" w:ascii="Times New Roman" w:hAnsi="Times New Roman"/>
                <w:sz w:val="21"/>
                <w:szCs w:val="21"/>
                <w:lang w:eastAsia="zh-CN"/>
              </w:rPr>
              <w:t>有与本项目相关的经营范围</w:t>
            </w:r>
            <w:r>
              <w:rPr>
                <w:rFonts w:ascii="Times New Roman" w:hAnsi="Times New Roman"/>
                <w:sz w:val="21"/>
                <w:szCs w:val="21"/>
              </w:rPr>
              <w:t>；</w:t>
            </w:r>
          </w:p>
          <w:p>
            <w:pPr>
              <w:spacing w:line="240" w:lineRule="atLeast"/>
              <w:rPr>
                <w:rFonts w:ascii="Times New Roman" w:hAnsi="Times New Roman"/>
                <w:sz w:val="21"/>
                <w:szCs w:val="21"/>
              </w:rPr>
            </w:pPr>
            <w:r>
              <w:rPr>
                <w:rFonts w:ascii="Times New Roman" w:hAnsi="Times New Roman"/>
                <w:sz w:val="21"/>
                <w:szCs w:val="21"/>
              </w:rPr>
              <w:t>3）单位负责人为同一人或者存在直接控股、管理关系的不同供应商，不得同时参加本项目同一包的投标；</w:t>
            </w:r>
          </w:p>
          <w:p>
            <w:pPr>
              <w:spacing w:line="240" w:lineRule="atLeast"/>
              <w:rPr>
                <w:rFonts w:ascii="Times New Roman" w:hAnsi="Times New Roman"/>
                <w:sz w:val="21"/>
                <w:szCs w:val="21"/>
              </w:rPr>
            </w:pPr>
            <w:r>
              <w:rPr>
                <w:rFonts w:ascii="Times New Roman" w:hAnsi="Times New Roman"/>
                <w:sz w:val="21"/>
                <w:szCs w:val="21"/>
              </w:rPr>
              <w:t>4）为本项目提供整体设计、规范编制或者项目管理、监理、检测等服务的供应商，不得参加该包的投标；</w:t>
            </w:r>
          </w:p>
          <w:p>
            <w:pPr>
              <w:spacing w:line="240" w:lineRule="atLeast"/>
              <w:rPr>
                <w:rFonts w:hint="eastAsia" w:ascii="Times New Roman" w:hAnsi="Times New Roman" w:eastAsia="宋体"/>
                <w:sz w:val="21"/>
                <w:szCs w:val="21"/>
                <w:lang w:eastAsia="zh-CN"/>
              </w:rPr>
            </w:pPr>
            <w:r>
              <w:rPr>
                <w:rFonts w:ascii="Times New Roman" w:hAnsi="Times New Roman"/>
                <w:sz w:val="21"/>
                <w:szCs w:val="21"/>
              </w:rPr>
              <w:t>5）本项目不接受联合体投标，中标后不允许转包、分包。</w:t>
            </w:r>
            <w:r>
              <w:rPr>
                <w:rFonts w:hint="eastAsia" w:ascii="Times New Roman" w:hAnsi="Times New Roman"/>
                <w:sz w:val="21"/>
                <w:szCs w:val="21"/>
                <w:lang w:eastAsia="zh-CN"/>
              </w:rPr>
              <w:t>提供“不转包、分包”的承诺书，格式自拟；</w:t>
            </w:r>
          </w:p>
          <w:p>
            <w:pPr>
              <w:spacing w:line="240" w:lineRule="atLeast"/>
              <w:rPr>
                <w:rFonts w:hint="eastAsia" w:ascii="Times New Roman" w:hAnsi="Times New Roman" w:eastAsia="宋体"/>
                <w:sz w:val="21"/>
                <w:szCs w:val="21"/>
                <w:lang w:eastAsia="zh-CN"/>
              </w:rPr>
            </w:pPr>
            <w:r>
              <w:rPr>
                <w:rFonts w:ascii="Times New Roman" w:hAnsi="Times New Roman"/>
                <w:sz w:val="21"/>
                <w:szCs w:val="21"/>
              </w:rPr>
              <w:t>6）通过“信用中国”网站（www.creditchina.gov.cn）和中国政府采购网（www.ccgp.gov.cn）查询信用记录（截止时间点为响应截止时间），被列入失信被执行人、重大税收违法案件当事人名单或政府采购严重违法失信行为记录名单的供应商，没有资格参加本项目的采购活动</w:t>
            </w:r>
            <w:r>
              <w:rPr>
                <w:rFonts w:hint="eastAsia" w:ascii="Times New Roman" w:hAnsi="Times New Roman"/>
                <w:sz w:val="21"/>
                <w:szCs w:val="21"/>
                <w:lang w:eastAsia="zh-CN"/>
              </w:rPr>
              <w:t>；</w:t>
            </w:r>
          </w:p>
          <w:p>
            <w:pPr>
              <w:spacing w:line="240" w:lineRule="atLeast"/>
              <w:rPr>
                <w:rFonts w:ascii="Times New Roman" w:hAnsi="Times New Roman"/>
                <w:sz w:val="21"/>
                <w:szCs w:val="21"/>
              </w:rPr>
            </w:pPr>
            <w:r>
              <w:rPr>
                <w:rFonts w:ascii="Times New Roman" w:hAnsi="Times New Roman"/>
                <w:sz w:val="21"/>
                <w:szCs w:val="21"/>
              </w:rPr>
              <w:t xml:space="preserve"> 7）法律、行政法规规定的其他条件。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Align w:val="center"/>
          </w:tcPr>
          <w:p>
            <w:pPr>
              <w:spacing w:line="240" w:lineRule="atLeast"/>
              <w:jc w:val="center"/>
              <w:rPr>
                <w:rFonts w:ascii="Times New Roman" w:hAnsi="Times New Roman"/>
                <w:sz w:val="21"/>
                <w:szCs w:val="21"/>
              </w:rPr>
            </w:pPr>
            <w:r>
              <w:rPr>
                <w:rFonts w:ascii="Times New Roman" w:hAnsi="Times New Roman"/>
                <w:sz w:val="21"/>
                <w:szCs w:val="21"/>
              </w:rPr>
              <w:t>5</w:t>
            </w:r>
          </w:p>
        </w:tc>
        <w:tc>
          <w:tcPr>
            <w:tcW w:w="1986" w:type="dxa"/>
            <w:vAlign w:val="center"/>
          </w:tcPr>
          <w:p>
            <w:pPr>
              <w:spacing w:line="240" w:lineRule="atLeast"/>
              <w:jc w:val="center"/>
              <w:rPr>
                <w:rFonts w:ascii="Times New Roman" w:hAnsi="Times New Roman"/>
                <w:sz w:val="21"/>
                <w:szCs w:val="21"/>
              </w:rPr>
            </w:pPr>
            <w:r>
              <w:rPr>
                <w:rFonts w:ascii="Times New Roman" w:hAnsi="Times New Roman"/>
                <w:sz w:val="21"/>
                <w:szCs w:val="21"/>
              </w:rPr>
              <w:t>采购方式</w:t>
            </w:r>
          </w:p>
        </w:tc>
        <w:tc>
          <w:tcPr>
            <w:tcW w:w="7086" w:type="dxa"/>
            <w:vAlign w:val="center"/>
          </w:tcPr>
          <w:p>
            <w:pPr>
              <w:spacing w:line="240" w:lineRule="atLeast"/>
              <w:rPr>
                <w:rFonts w:ascii="Times New Roman" w:hAnsi="Times New Roman"/>
                <w:sz w:val="21"/>
                <w:szCs w:val="21"/>
              </w:rPr>
            </w:pPr>
            <w:r>
              <w:rPr>
                <w:rFonts w:ascii="Times New Roman" w:hAnsi="Times New Roman"/>
                <w:sz w:val="21"/>
                <w:szCs w:val="21"/>
              </w:rPr>
              <w:t>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Align w:val="center"/>
          </w:tcPr>
          <w:p>
            <w:pPr>
              <w:spacing w:line="240" w:lineRule="atLeast"/>
              <w:jc w:val="center"/>
              <w:rPr>
                <w:rFonts w:ascii="Times New Roman" w:hAnsi="Times New Roman"/>
                <w:sz w:val="21"/>
                <w:szCs w:val="21"/>
              </w:rPr>
            </w:pPr>
            <w:r>
              <w:rPr>
                <w:rFonts w:ascii="Times New Roman" w:hAnsi="Times New Roman"/>
                <w:sz w:val="21"/>
                <w:szCs w:val="21"/>
              </w:rPr>
              <w:t>7.1</w:t>
            </w:r>
          </w:p>
        </w:tc>
        <w:tc>
          <w:tcPr>
            <w:tcW w:w="1986" w:type="dxa"/>
            <w:vAlign w:val="center"/>
          </w:tcPr>
          <w:p>
            <w:pPr>
              <w:spacing w:line="240" w:lineRule="atLeast"/>
              <w:jc w:val="center"/>
              <w:rPr>
                <w:rFonts w:ascii="Times New Roman" w:hAnsi="Times New Roman"/>
                <w:sz w:val="21"/>
                <w:szCs w:val="21"/>
              </w:rPr>
            </w:pPr>
            <w:r>
              <w:rPr>
                <w:rFonts w:ascii="Times New Roman" w:hAnsi="Times New Roman"/>
                <w:sz w:val="21"/>
                <w:szCs w:val="21"/>
              </w:rPr>
              <w:t>踏勘现场</w:t>
            </w:r>
          </w:p>
        </w:tc>
        <w:tc>
          <w:tcPr>
            <w:tcW w:w="7086" w:type="dxa"/>
            <w:vAlign w:val="center"/>
          </w:tcPr>
          <w:p>
            <w:pPr>
              <w:spacing w:line="240" w:lineRule="atLeast"/>
              <w:rPr>
                <w:rFonts w:hint="eastAsia" w:ascii="Times New Roman" w:hAnsi="Times New Roman" w:eastAsia="宋体"/>
                <w:sz w:val="21"/>
                <w:szCs w:val="21"/>
                <w:highlight w:val="yellow"/>
                <w:lang w:eastAsia="zh-CN"/>
              </w:rPr>
            </w:pPr>
            <w:r>
              <w:rPr>
                <w:rFonts w:hint="eastAsia" w:ascii="Times New Roman" w:hAnsi="Times New Roman"/>
                <w:sz w:val="21"/>
                <w:szCs w:val="21"/>
                <w:highlight w:val="none"/>
                <w:lang w:eastAsia="zh-CN"/>
              </w:rPr>
              <w:t>各潜在供应商自行踏勘现场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Align w:val="center"/>
          </w:tcPr>
          <w:p>
            <w:pPr>
              <w:spacing w:line="240" w:lineRule="atLeast"/>
              <w:jc w:val="center"/>
              <w:rPr>
                <w:rFonts w:ascii="Times New Roman" w:hAnsi="Times New Roman"/>
                <w:sz w:val="21"/>
                <w:szCs w:val="21"/>
              </w:rPr>
            </w:pPr>
            <w:r>
              <w:rPr>
                <w:rFonts w:ascii="Times New Roman" w:hAnsi="Times New Roman"/>
                <w:sz w:val="21"/>
                <w:szCs w:val="21"/>
              </w:rPr>
              <w:t>14</w:t>
            </w:r>
          </w:p>
        </w:tc>
        <w:tc>
          <w:tcPr>
            <w:tcW w:w="1986" w:type="dxa"/>
            <w:vAlign w:val="center"/>
          </w:tcPr>
          <w:p>
            <w:pPr>
              <w:spacing w:line="240" w:lineRule="atLeast"/>
              <w:jc w:val="center"/>
              <w:rPr>
                <w:rFonts w:ascii="Times New Roman" w:hAnsi="Times New Roman"/>
                <w:sz w:val="21"/>
                <w:szCs w:val="21"/>
              </w:rPr>
            </w:pPr>
            <w:r>
              <w:rPr>
                <w:rFonts w:ascii="Times New Roman" w:hAnsi="Times New Roman"/>
                <w:sz w:val="21"/>
                <w:szCs w:val="21"/>
              </w:rPr>
              <w:t>响应文件份数</w:t>
            </w:r>
          </w:p>
        </w:tc>
        <w:tc>
          <w:tcPr>
            <w:tcW w:w="7086" w:type="dxa"/>
            <w:vAlign w:val="center"/>
          </w:tcPr>
          <w:p>
            <w:pPr>
              <w:spacing w:line="240" w:lineRule="atLeast"/>
              <w:rPr>
                <w:rFonts w:ascii="Times New Roman" w:hAnsi="Times New Roman"/>
                <w:b/>
                <w:sz w:val="21"/>
                <w:szCs w:val="21"/>
              </w:rPr>
            </w:pPr>
            <w:r>
              <w:rPr>
                <w:rFonts w:ascii="Times New Roman" w:hAnsi="Times New Roman"/>
                <w:sz w:val="21"/>
                <w:szCs w:val="21"/>
              </w:rPr>
              <w:t>报价一览表1份、正本1份、副本2份</w:t>
            </w:r>
            <w:r>
              <w:rPr>
                <w:rFonts w:ascii="Times New Roman" w:hAnsi="Times New Roman"/>
                <w:b/>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Align w:val="center"/>
          </w:tcPr>
          <w:p>
            <w:pPr>
              <w:spacing w:line="240" w:lineRule="atLeast"/>
              <w:jc w:val="center"/>
              <w:rPr>
                <w:rFonts w:ascii="Times New Roman" w:hAnsi="Times New Roman"/>
                <w:sz w:val="21"/>
                <w:szCs w:val="21"/>
              </w:rPr>
            </w:pPr>
            <w:r>
              <w:rPr>
                <w:rFonts w:ascii="Times New Roman" w:hAnsi="Times New Roman"/>
                <w:sz w:val="21"/>
                <w:szCs w:val="21"/>
              </w:rPr>
              <w:t>15</w:t>
            </w:r>
          </w:p>
        </w:tc>
        <w:tc>
          <w:tcPr>
            <w:tcW w:w="1986" w:type="dxa"/>
            <w:vAlign w:val="center"/>
          </w:tcPr>
          <w:p>
            <w:pPr>
              <w:spacing w:line="240" w:lineRule="atLeast"/>
              <w:jc w:val="center"/>
              <w:rPr>
                <w:rFonts w:ascii="Times New Roman" w:hAnsi="Times New Roman"/>
                <w:sz w:val="21"/>
                <w:szCs w:val="21"/>
              </w:rPr>
            </w:pPr>
            <w:r>
              <w:rPr>
                <w:rFonts w:ascii="Times New Roman" w:hAnsi="Times New Roman"/>
                <w:sz w:val="21"/>
                <w:szCs w:val="21"/>
              </w:rPr>
              <w:t>响应保证金额</w:t>
            </w:r>
          </w:p>
        </w:tc>
        <w:tc>
          <w:tcPr>
            <w:tcW w:w="7086" w:type="dxa"/>
            <w:vAlign w:val="center"/>
          </w:tcPr>
          <w:p>
            <w:pPr>
              <w:spacing w:line="240" w:lineRule="atLeast"/>
              <w:rPr>
                <w:rFonts w:ascii="Times New Roman" w:hAnsi="Times New Roman"/>
                <w:sz w:val="21"/>
                <w:szCs w:val="21"/>
              </w:rPr>
            </w:pPr>
            <w:r>
              <w:rPr>
                <w:rFonts w:ascii="Times New Roman" w:hAnsi="Times New Roman"/>
                <w:sz w:val="21"/>
                <w:szCs w:val="21"/>
              </w:rPr>
              <w:t>磋商保证金金额：人民币3000元（大写：3000元整）</w:t>
            </w:r>
          </w:p>
          <w:p>
            <w:pPr>
              <w:spacing w:line="240" w:lineRule="atLeast"/>
              <w:rPr>
                <w:rFonts w:ascii="Times New Roman" w:hAnsi="Times New Roman"/>
                <w:sz w:val="21"/>
                <w:szCs w:val="21"/>
              </w:rPr>
            </w:pPr>
            <w:r>
              <w:rPr>
                <w:rFonts w:ascii="Times New Roman" w:hAnsi="Times New Roman"/>
                <w:sz w:val="21"/>
                <w:szCs w:val="21"/>
              </w:rPr>
              <w:t>磋商保证金应于投标时以现金</w:t>
            </w:r>
            <w:r>
              <w:rPr>
                <w:rFonts w:hint="eastAsia" w:ascii="Times New Roman" w:hAnsi="Times New Roman"/>
                <w:sz w:val="21"/>
                <w:szCs w:val="21"/>
                <w:lang w:eastAsia="zh-CN"/>
              </w:rPr>
              <w:t>密封装袋</w:t>
            </w:r>
            <w:r>
              <w:rPr>
                <w:rFonts w:ascii="Times New Roman" w:hAnsi="Times New Roman"/>
                <w:sz w:val="21"/>
                <w:szCs w:val="21"/>
              </w:rPr>
              <w:t>方式递交。如用其他方式递交，请提前与采购人联系，并于响应文件递交截止时间前取得交款凭证。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Merge w:val="restart"/>
            <w:vAlign w:val="center"/>
          </w:tcPr>
          <w:p>
            <w:pPr>
              <w:spacing w:line="240" w:lineRule="atLeast"/>
              <w:jc w:val="center"/>
              <w:rPr>
                <w:rFonts w:ascii="Times New Roman" w:hAnsi="Times New Roman"/>
                <w:sz w:val="21"/>
                <w:szCs w:val="21"/>
              </w:rPr>
            </w:pPr>
            <w:r>
              <w:rPr>
                <w:rFonts w:ascii="Times New Roman" w:hAnsi="Times New Roman"/>
                <w:sz w:val="21"/>
                <w:szCs w:val="21"/>
              </w:rPr>
              <w:t>16</w:t>
            </w:r>
          </w:p>
        </w:tc>
        <w:tc>
          <w:tcPr>
            <w:tcW w:w="1986" w:type="dxa"/>
            <w:vAlign w:val="center"/>
          </w:tcPr>
          <w:p>
            <w:pPr>
              <w:spacing w:line="240" w:lineRule="atLeast"/>
              <w:jc w:val="center"/>
              <w:rPr>
                <w:rFonts w:ascii="Times New Roman" w:hAnsi="Times New Roman"/>
                <w:sz w:val="21"/>
                <w:szCs w:val="21"/>
              </w:rPr>
            </w:pPr>
            <w:r>
              <w:rPr>
                <w:rFonts w:ascii="Times New Roman" w:hAnsi="Times New Roman"/>
                <w:sz w:val="21"/>
                <w:szCs w:val="21"/>
              </w:rPr>
              <w:t>响应有效期</w:t>
            </w:r>
          </w:p>
        </w:tc>
        <w:tc>
          <w:tcPr>
            <w:tcW w:w="7086" w:type="dxa"/>
            <w:vAlign w:val="center"/>
          </w:tcPr>
          <w:p>
            <w:pPr>
              <w:spacing w:line="240" w:lineRule="atLeast"/>
              <w:rPr>
                <w:rFonts w:ascii="Times New Roman" w:hAnsi="Times New Roman"/>
                <w:sz w:val="21"/>
                <w:szCs w:val="21"/>
              </w:rPr>
            </w:pPr>
            <w:r>
              <w:rPr>
                <w:rFonts w:ascii="Times New Roman" w:hAnsi="Times New Roman"/>
                <w:sz w:val="21"/>
                <w:szCs w:val="21"/>
              </w:rPr>
              <w:t>90日历天（从响应文件递交截止之日算起）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Merge w:val="continue"/>
            <w:vAlign w:val="center"/>
          </w:tcPr>
          <w:p>
            <w:pPr>
              <w:pStyle w:val="180"/>
              <w:spacing w:line="240" w:lineRule="atLeast"/>
              <w:jc w:val="center"/>
              <w:rPr>
                <w:rFonts w:ascii="Times New Roman" w:hAnsi="Times New Roman"/>
                <w:sz w:val="21"/>
                <w:szCs w:val="21"/>
              </w:rPr>
            </w:pPr>
          </w:p>
        </w:tc>
        <w:tc>
          <w:tcPr>
            <w:tcW w:w="1986" w:type="dxa"/>
            <w:vAlign w:val="center"/>
          </w:tcPr>
          <w:p>
            <w:pPr>
              <w:spacing w:line="240" w:lineRule="atLeast"/>
              <w:jc w:val="center"/>
              <w:rPr>
                <w:rFonts w:ascii="Times New Roman" w:hAnsi="Times New Roman"/>
                <w:sz w:val="21"/>
                <w:szCs w:val="21"/>
              </w:rPr>
            </w:pPr>
            <w:r>
              <w:rPr>
                <w:rFonts w:ascii="Times New Roman" w:hAnsi="Times New Roman"/>
                <w:sz w:val="21"/>
                <w:szCs w:val="21"/>
              </w:rPr>
              <w:t>响应文件开启</w:t>
            </w:r>
          </w:p>
        </w:tc>
        <w:tc>
          <w:tcPr>
            <w:tcW w:w="7086" w:type="dxa"/>
            <w:vAlign w:val="center"/>
          </w:tcPr>
          <w:p>
            <w:pPr>
              <w:spacing w:line="240" w:lineRule="atLeast"/>
              <w:rPr>
                <w:rFonts w:ascii="Times New Roman" w:hAnsi="Times New Roman"/>
                <w:sz w:val="21"/>
                <w:szCs w:val="21"/>
              </w:rPr>
            </w:pPr>
            <w:r>
              <w:rPr>
                <w:rFonts w:ascii="Times New Roman" w:hAnsi="Times New Roman"/>
                <w:sz w:val="21"/>
                <w:szCs w:val="21"/>
              </w:rPr>
              <w:t xml:space="preserve">地点：江苏食品药品职业技术学院招标办评标室（淮安市枚乘东路4号食品科技园东二楼204室） </w:t>
            </w:r>
          </w:p>
          <w:p>
            <w:pPr>
              <w:spacing w:line="240" w:lineRule="atLeast"/>
              <w:rPr>
                <w:rFonts w:ascii="Times New Roman" w:hAnsi="Times New Roman"/>
                <w:sz w:val="21"/>
                <w:szCs w:val="21"/>
              </w:rPr>
            </w:pPr>
            <w:r>
              <w:rPr>
                <w:rFonts w:ascii="Times New Roman" w:hAnsi="Times New Roman"/>
                <w:sz w:val="21"/>
                <w:szCs w:val="21"/>
              </w:rPr>
              <w:t>时间：2020年</w:t>
            </w:r>
            <w:r>
              <w:rPr>
                <w:rFonts w:hint="eastAsia" w:ascii="Times New Roman" w:hAnsi="Times New Roman"/>
                <w:sz w:val="21"/>
                <w:szCs w:val="21"/>
                <w:lang w:val="en-US" w:eastAsia="zh-CN"/>
              </w:rPr>
              <w:t>11</w:t>
            </w:r>
            <w:r>
              <w:rPr>
                <w:rFonts w:ascii="Times New Roman" w:hAnsi="Times New Roman"/>
                <w:sz w:val="21"/>
                <w:szCs w:val="21"/>
              </w:rPr>
              <w:t>月</w:t>
            </w:r>
            <w:r>
              <w:rPr>
                <w:rFonts w:hint="eastAsia" w:ascii="Times New Roman" w:hAnsi="Times New Roman"/>
                <w:sz w:val="21"/>
                <w:szCs w:val="21"/>
                <w:lang w:val="en-US" w:eastAsia="zh-CN"/>
              </w:rPr>
              <w:t>2</w:t>
            </w:r>
            <w:r>
              <w:rPr>
                <w:rFonts w:ascii="Times New Roman" w:hAnsi="Times New Roman"/>
                <w:sz w:val="21"/>
                <w:szCs w:val="21"/>
              </w:rPr>
              <w:t>日</w:t>
            </w:r>
            <w:r>
              <w:rPr>
                <w:rFonts w:hint="eastAsia" w:ascii="Times New Roman" w:hAnsi="Times New Roman"/>
                <w:sz w:val="21"/>
                <w:szCs w:val="21"/>
              </w:rPr>
              <w:t>上</w:t>
            </w:r>
            <w:r>
              <w:rPr>
                <w:rFonts w:ascii="Times New Roman" w:hAnsi="Times New Roman"/>
                <w:sz w:val="21"/>
                <w:szCs w:val="21"/>
              </w:rPr>
              <w:t>午</w:t>
            </w:r>
            <w:r>
              <w:rPr>
                <w:rFonts w:hint="eastAsia" w:ascii="Times New Roman" w:hAnsi="Times New Roman"/>
                <w:sz w:val="21"/>
                <w:szCs w:val="21"/>
                <w:lang w:val="en-US" w:eastAsia="zh-CN"/>
              </w:rPr>
              <w:t>9</w:t>
            </w:r>
            <w:r>
              <w:rPr>
                <w:rFonts w:ascii="Times New Roman" w:hAnsi="Times New Roman"/>
                <w:sz w:val="21"/>
                <w:szCs w:val="21"/>
              </w:rPr>
              <w:t>：</w:t>
            </w:r>
            <w:r>
              <w:rPr>
                <w:rFonts w:hint="eastAsia" w:ascii="Times New Roman" w:hAnsi="Times New Roman"/>
                <w:sz w:val="21"/>
                <w:szCs w:val="21"/>
                <w:lang w:val="en-US" w:eastAsia="zh-CN"/>
              </w:rPr>
              <w:t>00</w:t>
            </w:r>
            <w:r>
              <w:rPr>
                <w:rFonts w:ascii="Times New Roman" w:hAnsi="Times New Roman"/>
                <w:sz w:val="21"/>
                <w:szCs w:val="21"/>
              </w:rPr>
              <w:t>分（北京时间）</w:t>
            </w:r>
          </w:p>
          <w:p>
            <w:pPr>
              <w:spacing w:line="240" w:lineRule="atLeast"/>
              <w:rPr>
                <w:rFonts w:ascii="Times New Roman" w:hAnsi="Times New Roman"/>
                <w:sz w:val="21"/>
                <w:szCs w:val="21"/>
              </w:rPr>
            </w:pPr>
            <w:r>
              <w:rPr>
                <w:rFonts w:ascii="Times New Roman" w:hAnsi="Times New Roman"/>
                <w:sz w:val="21"/>
                <w:szCs w:val="21"/>
              </w:rPr>
              <w:t>授权委托人需持法定代表人授权委托书和身份证原件参加开启大会，法定代表人需持法人身份证明及身份证原件，否则将拒绝其参加本次竞争性磋商。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Align w:val="center"/>
          </w:tcPr>
          <w:p>
            <w:pPr>
              <w:spacing w:line="240" w:lineRule="atLeast"/>
              <w:jc w:val="center"/>
              <w:rPr>
                <w:rFonts w:ascii="Times New Roman" w:hAnsi="Times New Roman"/>
                <w:sz w:val="21"/>
                <w:szCs w:val="21"/>
              </w:rPr>
            </w:pPr>
            <w:r>
              <w:rPr>
                <w:rFonts w:ascii="Times New Roman" w:hAnsi="Times New Roman"/>
                <w:sz w:val="21"/>
                <w:szCs w:val="21"/>
              </w:rPr>
              <w:t>19</w:t>
            </w:r>
          </w:p>
        </w:tc>
        <w:tc>
          <w:tcPr>
            <w:tcW w:w="1986" w:type="dxa"/>
            <w:vAlign w:val="center"/>
          </w:tcPr>
          <w:p>
            <w:pPr>
              <w:spacing w:line="240" w:lineRule="atLeast"/>
              <w:jc w:val="center"/>
              <w:rPr>
                <w:rFonts w:ascii="Times New Roman" w:hAnsi="Times New Roman"/>
                <w:sz w:val="21"/>
                <w:szCs w:val="21"/>
              </w:rPr>
            </w:pPr>
            <w:r>
              <w:rPr>
                <w:rFonts w:ascii="Times New Roman" w:hAnsi="Times New Roman"/>
                <w:sz w:val="21"/>
                <w:szCs w:val="21"/>
              </w:rPr>
              <w:t>响应文件递交地点及截止日期</w:t>
            </w:r>
          </w:p>
        </w:tc>
        <w:tc>
          <w:tcPr>
            <w:tcW w:w="7086" w:type="dxa"/>
            <w:vAlign w:val="center"/>
          </w:tcPr>
          <w:p>
            <w:pPr>
              <w:spacing w:line="240" w:lineRule="atLeast"/>
              <w:rPr>
                <w:rFonts w:ascii="Times New Roman" w:hAnsi="Times New Roman"/>
                <w:sz w:val="21"/>
                <w:szCs w:val="21"/>
              </w:rPr>
            </w:pPr>
            <w:r>
              <w:rPr>
                <w:rFonts w:ascii="Times New Roman" w:hAnsi="Times New Roman"/>
                <w:sz w:val="21"/>
                <w:szCs w:val="21"/>
              </w:rPr>
              <w:t>递交地点：江苏食品药品职业技术学院招标办开标室；地址：淮安市枚乘东路4号，食品科技园东二楼206室（啤酒车间楼上）</w:t>
            </w:r>
          </w:p>
          <w:p>
            <w:pPr>
              <w:spacing w:line="240" w:lineRule="atLeast"/>
              <w:rPr>
                <w:rFonts w:ascii="Times New Roman" w:hAnsi="Times New Roman"/>
                <w:sz w:val="21"/>
                <w:szCs w:val="21"/>
              </w:rPr>
            </w:pPr>
            <w:r>
              <w:rPr>
                <w:rFonts w:ascii="Times New Roman" w:hAnsi="Times New Roman"/>
                <w:sz w:val="21"/>
                <w:szCs w:val="21"/>
              </w:rPr>
              <w:t>递交截止时间：2020年</w:t>
            </w:r>
            <w:r>
              <w:rPr>
                <w:rFonts w:hint="eastAsia" w:ascii="Times New Roman" w:hAnsi="Times New Roman"/>
                <w:sz w:val="21"/>
                <w:szCs w:val="21"/>
                <w:lang w:val="en-US" w:eastAsia="zh-CN"/>
              </w:rPr>
              <w:t>11</w:t>
            </w:r>
            <w:r>
              <w:rPr>
                <w:rFonts w:ascii="Times New Roman" w:hAnsi="Times New Roman"/>
                <w:sz w:val="21"/>
                <w:szCs w:val="21"/>
              </w:rPr>
              <w:t>月</w:t>
            </w:r>
            <w:r>
              <w:rPr>
                <w:rFonts w:hint="eastAsia" w:ascii="Times New Roman" w:hAnsi="Times New Roman"/>
                <w:sz w:val="21"/>
                <w:szCs w:val="21"/>
                <w:lang w:val="en-US" w:eastAsia="zh-CN"/>
              </w:rPr>
              <w:t>2</w:t>
            </w:r>
            <w:r>
              <w:rPr>
                <w:rFonts w:ascii="Times New Roman" w:hAnsi="Times New Roman"/>
                <w:sz w:val="21"/>
                <w:szCs w:val="21"/>
              </w:rPr>
              <w:t>日</w:t>
            </w:r>
            <w:r>
              <w:rPr>
                <w:rFonts w:hint="eastAsia" w:ascii="Times New Roman" w:hAnsi="Times New Roman"/>
                <w:sz w:val="21"/>
                <w:szCs w:val="21"/>
              </w:rPr>
              <w:t>上</w:t>
            </w:r>
            <w:r>
              <w:rPr>
                <w:rFonts w:ascii="Times New Roman" w:hAnsi="Times New Roman"/>
                <w:sz w:val="21"/>
                <w:szCs w:val="21"/>
              </w:rPr>
              <w:t>午</w:t>
            </w:r>
            <w:r>
              <w:rPr>
                <w:rFonts w:hint="eastAsia" w:ascii="Times New Roman" w:hAnsi="Times New Roman"/>
                <w:sz w:val="21"/>
                <w:szCs w:val="21"/>
                <w:lang w:val="en-US" w:eastAsia="zh-CN"/>
              </w:rPr>
              <w:t>9</w:t>
            </w:r>
            <w:r>
              <w:rPr>
                <w:rFonts w:ascii="Times New Roman" w:hAnsi="Times New Roman"/>
                <w:sz w:val="21"/>
                <w:szCs w:val="21"/>
              </w:rPr>
              <w:t>：</w:t>
            </w:r>
            <w:r>
              <w:rPr>
                <w:rFonts w:hint="eastAsia" w:ascii="Times New Roman" w:hAnsi="Times New Roman"/>
                <w:sz w:val="21"/>
                <w:szCs w:val="21"/>
                <w:lang w:val="en-US" w:eastAsia="zh-CN"/>
              </w:rPr>
              <w:t>00</w:t>
            </w:r>
            <w:r>
              <w:rPr>
                <w:rFonts w:ascii="Times New Roman" w:hAnsi="Times New Roman"/>
                <w:sz w:val="21"/>
                <w:szCs w:val="21"/>
              </w:rPr>
              <w:t>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Align w:val="center"/>
          </w:tcPr>
          <w:p>
            <w:pPr>
              <w:spacing w:line="240" w:lineRule="atLeast"/>
              <w:jc w:val="center"/>
              <w:rPr>
                <w:rFonts w:ascii="Times New Roman" w:hAnsi="Times New Roman"/>
                <w:sz w:val="21"/>
                <w:szCs w:val="21"/>
              </w:rPr>
            </w:pPr>
            <w:r>
              <w:rPr>
                <w:rFonts w:ascii="Times New Roman" w:hAnsi="Times New Roman"/>
                <w:sz w:val="21"/>
                <w:szCs w:val="21"/>
              </w:rPr>
              <w:t>33</w:t>
            </w:r>
          </w:p>
        </w:tc>
        <w:tc>
          <w:tcPr>
            <w:tcW w:w="1986" w:type="dxa"/>
            <w:vAlign w:val="center"/>
          </w:tcPr>
          <w:p>
            <w:pPr>
              <w:spacing w:line="240" w:lineRule="atLeast"/>
              <w:jc w:val="center"/>
              <w:rPr>
                <w:rFonts w:ascii="Times New Roman" w:hAnsi="Times New Roman"/>
                <w:sz w:val="21"/>
                <w:szCs w:val="21"/>
              </w:rPr>
            </w:pPr>
            <w:r>
              <w:rPr>
                <w:rFonts w:ascii="Times New Roman" w:hAnsi="Times New Roman"/>
                <w:sz w:val="21"/>
                <w:szCs w:val="21"/>
              </w:rPr>
              <w:t>资格审查方式</w:t>
            </w:r>
          </w:p>
        </w:tc>
        <w:tc>
          <w:tcPr>
            <w:tcW w:w="7086" w:type="dxa"/>
            <w:vAlign w:val="center"/>
          </w:tcPr>
          <w:p>
            <w:pPr>
              <w:spacing w:line="240" w:lineRule="atLeast"/>
              <w:rPr>
                <w:rFonts w:ascii="Times New Roman" w:hAnsi="Times New Roman"/>
                <w:sz w:val="21"/>
                <w:szCs w:val="21"/>
              </w:rPr>
            </w:pPr>
            <w:r>
              <w:rPr>
                <w:rFonts w:ascii="Times New Roman" w:hAnsi="Times New Roman"/>
                <w:sz w:val="21"/>
                <w:szCs w:val="21"/>
              </w:rPr>
              <w:t>资格后审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Align w:val="center"/>
          </w:tcPr>
          <w:p>
            <w:pPr>
              <w:spacing w:line="240" w:lineRule="atLeast"/>
              <w:jc w:val="center"/>
              <w:rPr>
                <w:rFonts w:ascii="Times New Roman" w:hAnsi="Times New Roman"/>
                <w:sz w:val="21"/>
                <w:szCs w:val="21"/>
              </w:rPr>
            </w:pPr>
            <w:r>
              <w:rPr>
                <w:rFonts w:ascii="Times New Roman" w:hAnsi="Times New Roman"/>
                <w:sz w:val="21"/>
                <w:szCs w:val="21"/>
              </w:rPr>
              <w:t>39</w:t>
            </w:r>
          </w:p>
        </w:tc>
        <w:tc>
          <w:tcPr>
            <w:tcW w:w="1986" w:type="dxa"/>
            <w:vAlign w:val="center"/>
          </w:tcPr>
          <w:p>
            <w:pPr>
              <w:spacing w:line="240" w:lineRule="atLeast"/>
              <w:jc w:val="center"/>
              <w:rPr>
                <w:rFonts w:ascii="Times New Roman" w:hAnsi="Times New Roman"/>
                <w:sz w:val="21"/>
                <w:szCs w:val="21"/>
              </w:rPr>
            </w:pPr>
            <w:r>
              <w:rPr>
                <w:rFonts w:ascii="Times New Roman" w:hAnsi="Times New Roman"/>
                <w:sz w:val="21"/>
                <w:szCs w:val="21"/>
              </w:rPr>
              <w:t>其它要求</w:t>
            </w:r>
          </w:p>
        </w:tc>
        <w:tc>
          <w:tcPr>
            <w:tcW w:w="7086" w:type="dxa"/>
            <w:vAlign w:val="center"/>
          </w:tcPr>
          <w:p>
            <w:pPr>
              <w:spacing w:line="240" w:lineRule="atLeast"/>
              <w:rPr>
                <w:rFonts w:ascii="Times New Roman" w:hAnsi="Times New Roman"/>
                <w:sz w:val="21"/>
                <w:szCs w:val="21"/>
              </w:rPr>
            </w:pPr>
            <w:r>
              <w:rPr>
                <w:rFonts w:ascii="Times New Roman" w:hAnsi="Times New Roman"/>
                <w:b/>
                <w:sz w:val="21"/>
                <w:szCs w:val="21"/>
              </w:rPr>
              <w:t>最后磋商报价：</w:t>
            </w:r>
            <w:r>
              <w:rPr>
                <w:rFonts w:ascii="Times New Roman" w:hAnsi="Times New Roman"/>
                <w:sz w:val="21"/>
                <w:szCs w:val="21"/>
              </w:rPr>
              <w:t>二次报价。响应文件中的报价为一次报价，</w:t>
            </w:r>
            <w:r>
              <w:rPr>
                <w:rFonts w:ascii="Times New Roman" w:hAnsi="Times New Roman"/>
                <w:b/>
                <w:sz w:val="21"/>
                <w:szCs w:val="21"/>
              </w:rPr>
              <w:t>第二次报价即为最后磋商报价。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Align w:val="center"/>
          </w:tcPr>
          <w:p>
            <w:pPr>
              <w:spacing w:line="240" w:lineRule="atLeast"/>
              <w:jc w:val="center"/>
              <w:rPr>
                <w:rFonts w:ascii="Times New Roman" w:hAnsi="Times New Roman"/>
                <w:sz w:val="21"/>
                <w:szCs w:val="21"/>
              </w:rPr>
            </w:pPr>
            <w:r>
              <w:rPr>
                <w:rFonts w:ascii="Times New Roman" w:hAnsi="Times New Roman"/>
                <w:sz w:val="21"/>
                <w:szCs w:val="21"/>
              </w:rPr>
              <w:t>40</w:t>
            </w:r>
          </w:p>
        </w:tc>
        <w:tc>
          <w:tcPr>
            <w:tcW w:w="1986" w:type="dxa"/>
            <w:vAlign w:val="center"/>
          </w:tcPr>
          <w:p>
            <w:pPr>
              <w:spacing w:line="240" w:lineRule="atLeast"/>
              <w:jc w:val="center"/>
              <w:rPr>
                <w:rFonts w:ascii="Times New Roman" w:hAnsi="Times New Roman"/>
                <w:sz w:val="21"/>
                <w:szCs w:val="21"/>
              </w:rPr>
            </w:pPr>
            <w:r>
              <w:rPr>
                <w:rFonts w:ascii="Times New Roman" w:hAnsi="Times New Roman"/>
                <w:sz w:val="21"/>
                <w:szCs w:val="21"/>
              </w:rPr>
              <w:t>疫情防控期间现场注意事项说明</w:t>
            </w:r>
          </w:p>
          <w:p>
            <w:pPr>
              <w:spacing w:line="240" w:lineRule="atLeast"/>
              <w:jc w:val="center"/>
              <w:rPr>
                <w:rFonts w:ascii="Times New Roman" w:hAnsi="Times New Roman"/>
                <w:sz w:val="21"/>
                <w:szCs w:val="21"/>
              </w:rPr>
            </w:pPr>
          </w:p>
        </w:tc>
        <w:tc>
          <w:tcPr>
            <w:tcW w:w="7086" w:type="dxa"/>
            <w:vAlign w:val="center"/>
          </w:tcPr>
          <w:p>
            <w:pPr>
              <w:spacing w:line="240" w:lineRule="atLeast"/>
              <w:rPr>
                <w:rFonts w:ascii="Times New Roman" w:hAnsi="Times New Roman"/>
                <w:sz w:val="21"/>
                <w:szCs w:val="21"/>
              </w:rPr>
            </w:pPr>
            <w:r>
              <w:rPr>
                <w:rFonts w:ascii="Times New Roman" w:hAnsi="Times New Roman"/>
                <w:sz w:val="21"/>
                <w:szCs w:val="21"/>
              </w:rPr>
              <w:t>1）参加本项目的响应单位，每家仅能派一名授权代表参加，该授权代表必须携带身份证原件、委托书原件到达现场（未提供者原件者不得进入现场），并供现场核验，同时配合做好相关询问记录。未提供或提供不全的视为放弃投标。</w:t>
            </w:r>
          </w:p>
          <w:p>
            <w:pPr>
              <w:spacing w:line="240" w:lineRule="atLeast"/>
              <w:rPr>
                <w:rFonts w:ascii="Times New Roman" w:hAnsi="Times New Roman"/>
                <w:sz w:val="21"/>
                <w:szCs w:val="21"/>
              </w:rPr>
            </w:pPr>
            <w:r>
              <w:rPr>
                <w:rFonts w:ascii="Times New Roman" w:hAnsi="Times New Roman"/>
                <w:sz w:val="21"/>
                <w:szCs w:val="21"/>
              </w:rPr>
              <w:t>2）各响应单位应切实履行疫情防控责任，所派人员应为无疫情接触史、来自或途经湖北等重点疫区入县（返县）隔离已满14天、身体健康且符合防控要求，因把关不严造成后果的，将上报有关部门追究责任。</w:t>
            </w:r>
          </w:p>
          <w:p>
            <w:pPr>
              <w:spacing w:line="240" w:lineRule="atLeast"/>
              <w:rPr>
                <w:rFonts w:ascii="Times New Roman" w:hAnsi="Times New Roman"/>
                <w:sz w:val="21"/>
                <w:szCs w:val="21"/>
              </w:rPr>
            </w:pPr>
            <w:r>
              <w:rPr>
                <w:rFonts w:ascii="Times New Roman" w:hAnsi="Times New Roman"/>
                <w:sz w:val="21"/>
                <w:szCs w:val="21"/>
              </w:rPr>
              <w:t>3）因进入现场需进行体温检测、身份核验、扫码等，请各授权代表提前到达。因预留时间不足、未佩戴口罩或体温异常等导致的后果，由响应单位自行承担。</w:t>
            </w:r>
          </w:p>
          <w:p>
            <w:pPr>
              <w:spacing w:line="240" w:lineRule="atLeast"/>
              <w:rPr>
                <w:rFonts w:ascii="Times New Roman" w:hAnsi="Times New Roman"/>
                <w:sz w:val="21"/>
                <w:szCs w:val="21"/>
              </w:rPr>
            </w:pPr>
            <w:r>
              <w:rPr>
                <w:rFonts w:ascii="Times New Roman" w:hAnsi="Times New Roman"/>
                <w:sz w:val="21"/>
                <w:szCs w:val="21"/>
              </w:rPr>
              <w:t>4）进入现场应全程佩戴口罩。进入现场时请自觉接受体温检测，进入会议室时请自觉接受身份核验，体温检测正常（﹤37.3°）</w:t>
            </w:r>
          </w:p>
          <w:p>
            <w:pPr>
              <w:spacing w:line="240" w:lineRule="atLeast"/>
              <w:rPr>
                <w:rFonts w:ascii="Times New Roman" w:hAnsi="Times New Roman"/>
                <w:sz w:val="21"/>
                <w:szCs w:val="21"/>
              </w:rPr>
            </w:pPr>
            <w:r>
              <w:rPr>
                <w:rFonts w:ascii="Times New Roman" w:hAnsi="Times New Roman"/>
                <w:sz w:val="21"/>
                <w:szCs w:val="21"/>
              </w:rPr>
              <w:t>5）对有发热、咳嗽等症状以及不符合疫情防控要求的人员，谢绝进入现场。</w:t>
            </w:r>
          </w:p>
          <w:p>
            <w:pPr>
              <w:spacing w:line="240" w:lineRule="atLeast"/>
              <w:rPr>
                <w:rFonts w:ascii="Times New Roman" w:hAnsi="Times New Roman"/>
                <w:sz w:val="21"/>
                <w:szCs w:val="21"/>
              </w:rPr>
            </w:pPr>
            <w:r>
              <w:rPr>
                <w:rFonts w:ascii="Times New Roman" w:hAnsi="Times New Roman"/>
                <w:sz w:val="21"/>
                <w:szCs w:val="21"/>
              </w:rPr>
              <w:t>6）进入现场的人员应保持适当的间隔距离，排队等候、就座时应间隔1米以上。注重个人卫生防护，减少触摸扶手、门把等易污染部位和物品，会后应尽快离开，在大楼内不聚集、不攀谈、不逗留。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7" w:hRule="atLeast"/>
          <w:jc w:val="center"/>
        </w:trPr>
        <w:tc>
          <w:tcPr>
            <w:tcW w:w="851" w:type="dxa"/>
            <w:vAlign w:val="center"/>
          </w:tcPr>
          <w:p>
            <w:pPr>
              <w:spacing w:line="240" w:lineRule="atLeast"/>
              <w:jc w:val="center"/>
              <w:rPr>
                <w:rFonts w:ascii="Times New Roman" w:hAnsi="Times New Roman"/>
                <w:sz w:val="21"/>
                <w:szCs w:val="21"/>
              </w:rPr>
            </w:pPr>
            <w:r>
              <w:rPr>
                <w:rFonts w:ascii="Times New Roman" w:hAnsi="Times New Roman"/>
                <w:sz w:val="21"/>
                <w:szCs w:val="21"/>
              </w:rPr>
              <w:t>41</w:t>
            </w:r>
          </w:p>
        </w:tc>
        <w:tc>
          <w:tcPr>
            <w:tcW w:w="1986" w:type="dxa"/>
            <w:vAlign w:val="center"/>
          </w:tcPr>
          <w:p>
            <w:pPr>
              <w:spacing w:line="240" w:lineRule="atLeast"/>
              <w:jc w:val="center"/>
              <w:rPr>
                <w:rFonts w:ascii="Times New Roman" w:hAnsi="Times New Roman"/>
                <w:sz w:val="21"/>
                <w:szCs w:val="21"/>
              </w:rPr>
            </w:pPr>
            <w:r>
              <w:rPr>
                <w:rFonts w:ascii="Times New Roman" w:hAnsi="Times New Roman"/>
                <w:sz w:val="21"/>
                <w:szCs w:val="21"/>
              </w:rPr>
              <w:t>付款方式</w:t>
            </w:r>
          </w:p>
        </w:tc>
        <w:tc>
          <w:tcPr>
            <w:tcW w:w="7086" w:type="dxa"/>
            <w:vAlign w:val="center"/>
          </w:tcPr>
          <w:p>
            <w:pPr>
              <w:spacing w:line="240" w:lineRule="atLeast"/>
              <w:rPr>
                <w:rFonts w:hint="default" w:ascii="Times New Roman" w:hAnsi="Times New Roman" w:eastAsia="宋体"/>
                <w:sz w:val="21"/>
                <w:szCs w:val="21"/>
                <w:lang w:val="en-US" w:eastAsia="zh-CN"/>
              </w:rPr>
            </w:pPr>
            <w:r>
              <w:rPr>
                <w:rFonts w:hint="eastAsia" w:ascii="Times New Roman" w:hAnsi="Times New Roman"/>
                <w:sz w:val="21"/>
                <w:szCs w:val="21"/>
                <w:lang w:eastAsia="zh-CN"/>
              </w:rPr>
              <w:t>本次经营服务管理费最低限价为</w:t>
            </w:r>
            <w:r>
              <w:rPr>
                <w:rFonts w:hint="eastAsia" w:ascii="Times New Roman" w:hAnsi="Times New Roman"/>
                <w:sz w:val="21"/>
                <w:szCs w:val="21"/>
                <w:lang w:val="en-US" w:eastAsia="zh-CN"/>
              </w:rPr>
              <w:t>104825元人民币，项目成交人在合同签订后，全额缴纳本年度管理费。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23" w:type="dxa"/>
            <w:gridSpan w:val="3"/>
            <w:vAlign w:val="center"/>
          </w:tcPr>
          <w:p>
            <w:pPr>
              <w:spacing w:line="240" w:lineRule="atLeast"/>
              <w:rPr>
                <w:rFonts w:ascii="Times New Roman" w:hAnsi="Times New Roman"/>
                <w:sz w:val="21"/>
                <w:szCs w:val="21"/>
              </w:rPr>
            </w:pPr>
            <w:r>
              <w:rPr>
                <w:rFonts w:ascii="Times New Roman" w:hAnsi="Times New Roman"/>
                <w:sz w:val="21"/>
                <w:szCs w:val="21"/>
              </w:rPr>
              <w:t>供应商对政府采购活动事项有疑问的，可以提出询问；</w:t>
            </w:r>
          </w:p>
          <w:p>
            <w:pPr>
              <w:spacing w:line="240" w:lineRule="atLeast"/>
              <w:rPr>
                <w:rFonts w:ascii="Times New Roman" w:hAnsi="Times New Roman"/>
                <w:sz w:val="21"/>
                <w:szCs w:val="21"/>
              </w:rPr>
            </w:pPr>
            <w:r>
              <w:rPr>
                <w:rFonts w:ascii="Times New Roman" w:hAnsi="Times New Roman"/>
                <w:sz w:val="21"/>
                <w:szCs w:val="21"/>
              </w:rPr>
              <w:t>供应商认为采购文件、采购过程、中标或者成交结果使自己的权益受到损害的，可以在知道或者应知权益受到损害之日起7个工作日内，提出质疑。</w:t>
            </w:r>
          </w:p>
          <w:p>
            <w:pPr>
              <w:spacing w:line="240" w:lineRule="atLeast"/>
              <w:rPr>
                <w:rFonts w:ascii="Times New Roman" w:hAnsi="Times New Roman"/>
                <w:sz w:val="21"/>
                <w:szCs w:val="21"/>
              </w:rPr>
            </w:pPr>
            <w:r>
              <w:rPr>
                <w:rFonts w:ascii="Times New Roman" w:hAnsi="Times New Roman"/>
                <w:sz w:val="21"/>
                <w:szCs w:val="21"/>
              </w:rPr>
              <w:t>1、接收质疑函的方式：供应商应提交书面质疑函，供应商应在法定质疑期内一次性提出针对同一采购程序环节的质疑。</w:t>
            </w:r>
          </w:p>
          <w:p>
            <w:pPr>
              <w:spacing w:line="240" w:lineRule="atLeast"/>
              <w:rPr>
                <w:rFonts w:ascii="Times New Roman" w:hAnsi="Times New Roman"/>
                <w:sz w:val="21"/>
                <w:szCs w:val="21"/>
              </w:rPr>
            </w:pPr>
            <w:r>
              <w:rPr>
                <w:rFonts w:ascii="Times New Roman" w:hAnsi="Times New Roman"/>
                <w:sz w:val="21"/>
                <w:szCs w:val="21"/>
              </w:rPr>
              <w:t>2、供应商提出质疑应当提交质疑函和必要的证明材料。</w:t>
            </w:r>
          </w:p>
          <w:p>
            <w:pPr>
              <w:spacing w:line="240" w:lineRule="atLeast"/>
              <w:rPr>
                <w:rFonts w:ascii="Times New Roman" w:hAnsi="Times New Roman"/>
                <w:sz w:val="21"/>
                <w:szCs w:val="21"/>
              </w:rPr>
            </w:pPr>
            <w:r>
              <w:rPr>
                <w:rFonts w:ascii="Times New Roman" w:hAnsi="Times New Roman"/>
                <w:sz w:val="21"/>
                <w:szCs w:val="21"/>
              </w:rPr>
              <w:t>质疑函应当包括下列内容：</w:t>
            </w:r>
          </w:p>
          <w:p>
            <w:pPr>
              <w:spacing w:line="240" w:lineRule="atLeast"/>
              <w:rPr>
                <w:rFonts w:ascii="Times New Roman" w:hAnsi="Times New Roman"/>
                <w:sz w:val="21"/>
                <w:szCs w:val="21"/>
              </w:rPr>
            </w:pPr>
            <w:r>
              <w:rPr>
                <w:rFonts w:ascii="Times New Roman" w:hAnsi="Times New Roman"/>
                <w:sz w:val="21"/>
                <w:szCs w:val="21"/>
              </w:rPr>
              <w:t>2.1供应商的姓名或者名称、地址、邮编、联系人及联系电话；</w:t>
            </w:r>
          </w:p>
          <w:p>
            <w:pPr>
              <w:spacing w:line="240" w:lineRule="atLeast"/>
              <w:rPr>
                <w:rFonts w:ascii="Times New Roman" w:hAnsi="Times New Roman"/>
                <w:sz w:val="21"/>
                <w:szCs w:val="21"/>
              </w:rPr>
            </w:pPr>
            <w:r>
              <w:rPr>
                <w:rFonts w:ascii="Times New Roman" w:hAnsi="Times New Roman"/>
                <w:sz w:val="21"/>
                <w:szCs w:val="21"/>
              </w:rPr>
              <w:t>2.2质疑项目的名称、编号；</w:t>
            </w:r>
          </w:p>
          <w:p>
            <w:pPr>
              <w:spacing w:line="240" w:lineRule="atLeast"/>
              <w:rPr>
                <w:rFonts w:ascii="Times New Roman" w:hAnsi="Times New Roman"/>
                <w:sz w:val="21"/>
                <w:szCs w:val="21"/>
              </w:rPr>
            </w:pPr>
            <w:r>
              <w:rPr>
                <w:rFonts w:ascii="Times New Roman" w:hAnsi="Times New Roman"/>
                <w:sz w:val="21"/>
                <w:szCs w:val="21"/>
              </w:rPr>
              <w:t>2.3具体、明确的质疑事项和与质疑事项相关的请求；</w:t>
            </w:r>
          </w:p>
          <w:p>
            <w:pPr>
              <w:spacing w:line="240" w:lineRule="atLeast"/>
              <w:rPr>
                <w:rFonts w:ascii="Times New Roman" w:hAnsi="Times New Roman"/>
                <w:sz w:val="21"/>
                <w:szCs w:val="21"/>
              </w:rPr>
            </w:pPr>
            <w:r>
              <w:rPr>
                <w:rFonts w:ascii="Times New Roman" w:hAnsi="Times New Roman"/>
                <w:sz w:val="21"/>
                <w:szCs w:val="21"/>
              </w:rPr>
              <w:t>2.4事实依据；</w:t>
            </w:r>
          </w:p>
          <w:p>
            <w:pPr>
              <w:spacing w:line="240" w:lineRule="atLeast"/>
              <w:rPr>
                <w:rFonts w:ascii="Times New Roman" w:hAnsi="Times New Roman"/>
                <w:sz w:val="21"/>
                <w:szCs w:val="21"/>
              </w:rPr>
            </w:pPr>
            <w:r>
              <w:rPr>
                <w:rFonts w:ascii="Times New Roman" w:hAnsi="Times New Roman"/>
                <w:sz w:val="21"/>
                <w:szCs w:val="21"/>
              </w:rPr>
              <w:t>2.5必要的法律依据；</w:t>
            </w:r>
          </w:p>
          <w:p>
            <w:pPr>
              <w:spacing w:line="240" w:lineRule="atLeast"/>
              <w:rPr>
                <w:rFonts w:ascii="Times New Roman" w:hAnsi="Times New Roman"/>
                <w:sz w:val="21"/>
                <w:szCs w:val="21"/>
              </w:rPr>
            </w:pPr>
            <w:r>
              <w:rPr>
                <w:rFonts w:ascii="Times New Roman" w:hAnsi="Times New Roman"/>
                <w:sz w:val="21"/>
                <w:szCs w:val="21"/>
              </w:rPr>
              <w:t>2.6提出质疑的日期。</w:t>
            </w:r>
          </w:p>
          <w:p>
            <w:pPr>
              <w:spacing w:line="240" w:lineRule="atLeast"/>
              <w:rPr>
                <w:rFonts w:ascii="Times New Roman" w:hAnsi="Times New Roman"/>
                <w:sz w:val="21"/>
                <w:szCs w:val="21"/>
              </w:rPr>
            </w:pPr>
            <w:r>
              <w:rPr>
                <w:rFonts w:ascii="Times New Roman" w:hAnsi="Times New Roman"/>
                <w:sz w:val="21"/>
                <w:szCs w:val="21"/>
              </w:rPr>
              <w:t>供应商为自然人的，质疑函应当由本人签字；供应商为法人或者其他组织的，质疑函应当由法定代表人、主要负责人，或者其授权代表签字或者盖章，并加盖公章。</w:t>
            </w:r>
          </w:p>
          <w:p>
            <w:pPr>
              <w:spacing w:line="240" w:lineRule="atLeast"/>
              <w:rPr>
                <w:rFonts w:ascii="Times New Roman" w:hAnsi="Times New Roman"/>
                <w:sz w:val="21"/>
                <w:szCs w:val="21"/>
              </w:rPr>
            </w:pPr>
            <w:r>
              <w:rPr>
                <w:rFonts w:ascii="Times New Roman" w:hAnsi="Times New Roman"/>
                <w:sz w:val="21"/>
                <w:szCs w:val="21"/>
              </w:rPr>
              <w:t>供应商委托代理人递交质疑函的，应提供法定代表人授权委托书和代理人身份证复印件。授权委托书应当载明代理人的姓名、授权事项、具体权限、期限和相关事项。供应商为自然人的，授权委托书应当由本人签字；供应商为法人或者其他组织的，授权委托书应当由法定代表人、主要负责人签字或者盖章，并加盖公章。</w:t>
            </w:r>
          </w:p>
          <w:p>
            <w:pPr>
              <w:spacing w:line="240" w:lineRule="atLeast"/>
              <w:rPr>
                <w:rFonts w:ascii="Times New Roman" w:hAnsi="Times New Roman"/>
                <w:sz w:val="21"/>
                <w:szCs w:val="21"/>
              </w:rPr>
            </w:pPr>
            <w:r>
              <w:rPr>
                <w:rFonts w:ascii="Times New Roman" w:hAnsi="Times New Roman"/>
                <w:sz w:val="21"/>
                <w:szCs w:val="21"/>
              </w:rPr>
              <w:t>3、联系部门：江苏食品药品职业技术学院招标办</w:t>
            </w:r>
          </w:p>
          <w:p>
            <w:pPr>
              <w:spacing w:line="240" w:lineRule="atLeast"/>
              <w:ind w:firstLine="315" w:firstLineChars="150"/>
              <w:rPr>
                <w:rFonts w:ascii="Times New Roman" w:hAnsi="Times New Roman"/>
                <w:sz w:val="21"/>
                <w:szCs w:val="21"/>
              </w:rPr>
            </w:pPr>
            <w:r>
              <w:rPr>
                <w:rFonts w:ascii="Times New Roman" w:hAnsi="Times New Roman"/>
                <w:sz w:val="21"/>
                <w:szCs w:val="21"/>
              </w:rPr>
              <w:t>联系人：</w:t>
            </w:r>
            <w:r>
              <w:rPr>
                <w:rFonts w:hint="eastAsia" w:ascii="Times New Roman" w:hAnsi="Times New Roman"/>
                <w:sz w:val="21"/>
                <w:szCs w:val="21"/>
              </w:rPr>
              <w:t>黄</w:t>
            </w:r>
            <w:r>
              <w:rPr>
                <w:rFonts w:ascii="Times New Roman" w:hAnsi="Times New Roman"/>
                <w:sz w:val="21"/>
                <w:szCs w:val="21"/>
              </w:rPr>
              <w:t>老师</w:t>
            </w:r>
          </w:p>
          <w:p>
            <w:pPr>
              <w:spacing w:line="240" w:lineRule="atLeast"/>
              <w:ind w:firstLine="315" w:firstLineChars="150"/>
              <w:rPr>
                <w:rFonts w:ascii="Times New Roman" w:hAnsi="Times New Roman"/>
                <w:sz w:val="21"/>
                <w:szCs w:val="21"/>
              </w:rPr>
            </w:pPr>
            <w:r>
              <w:rPr>
                <w:rFonts w:ascii="Times New Roman" w:hAnsi="Times New Roman"/>
                <w:sz w:val="21"/>
                <w:szCs w:val="21"/>
              </w:rPr>
              <w:t xml:space="preserve">联系电话：0517-87088128；         </w:t>
            </w:r>
          </w:p>
          <w:p>
            <w:pPr>
              <w:numPr>
                <w:ilvl w:val="0"/>
                <w:numId w:val="6"/>
              </w:numPr>
              <w:spacing w:line="240" w:lineRule="atLeast"/>
              <w:ind w:left="0" w:leftChars="0" w:firstLine="0" w:firstLineChars="0"/>
              <w:rPr>
                <w:rFonts w:ascii="Times New Roman" w:hAnsi="Times New Roman"/>
                <w:sz w:val="21"/>
                <w:szCs w:val="21"/>
              </w:rPr>
            </w:pPr>
            <w:r>
              <w:rPr>
                <w:rFonts w:ascii="Times New Roman" w:hAnsi="Times New Roman"/>
                <w:sz w:val="21"/>
                <w:szCs w:val="21"/>
              </w:rPr>
              <w:t>通讯地址：淮安市枚乘东路4号食品科技园东二楼205室</w:t>
            </w:r>
          </w:p>
          <w:p>
            <w:pPr>
              <w:numPr>
                <w:numId w:val="0"/>
              </w:numPr>
              <w:spacing w:line="240" w:lineRule="atLeast"/>
              <w:ind w:leftChars="0"/>
              <w:rPr>
                <w:rFonts w:ascii="Times New Roman" w:hAnsi="Times New Roman"/>
                <w:sz w:val="21"/>
                <w:szCs w:val="21"/>
              </w:rPr>
            </w:pPr>
          </w:p>
          <w:p>
            <w:pPr>
              <w:numPr>
                <w:numId w:val="0"/>
              </w:numPr>
              <w:spacing w:line="240" w:lineRule="atLeast"/>
              <w:rPr>
                <w:rFonts w:hint="default" w:ascii="Times New Roman" w:hAnsi="Times New Roman"/>
                <w:sz w:val="21"/>
                <w:szCs w:val="21"/>
                <w:lang w:val="en-US" w:eastAsia="zh-CN"/>
              </w:rPr>
            </w:pPr>
          </w:p>
        </w:tc>
      </w:tr>
    </w:tbl>
    <w:p>
      <w:pPr>
        <w:rPr>
          <w:rFonts w:ascii="Times New Roman" w:hAnsi="Times New Roman"/>
        </w:rPr>
      </w:pPr>
    </w:p>
    <w:p>
      <w:pPr>
        <w:rPr>
          <w:rFonts w:ascii="Times New Roman" w:hAnsi="Times New Roman"/>
        </w:rPr>
      </w:pPr>
      <w:r>
        <w:rPr>
          <w:rFonts w:ascii="Times New Roman" w:hAnsi="Times New Roman"/>
        </w:rPr>
        <w:br w:type="page"/>
      </w:r>
    </w:p>
    <w:p>
      <w:pPr>
        <w:pStyle w:val="3"/>
        <w:rPr>
          <w:rFonts w:ascii="Times New Roman" w:hAnsi="Times New Roman"/>
        </w:rPr>
      </w:pPr>
      <w:r>
        <w:rPr>
          <w:rFonts w:ascii="Times New Roman" w:hAnsi="Times New Roman"/>
        </w:rPr>
        <w:t>二、</w:t>
      </w:r>
      <w:bookmarkStart w:id="8" w:name="_Toc436256500"/>
      <w:r>
        <w:rPr>
          <w:rFonts w:ascii="Times New Roman" w:hAnsi="Times New Roman"/>
        </w:rPr>
        <w:t>供应商须知</w:t>
      </w:r>
      <w:bookmarkEnd w:id="8"/>
    </w:p>
    <w:p>
      <w:pPr>
        <w:pStyle w:val="4"/>
        <w:numPr>
          <w:ilvl w:val="0"/>
          <w:numId w:val="0"/>
        </w:numPr>
        <w:ind w:left="720"/>
        <w:rPr>
          <w:rFonts w:ascii="Times New Roman" w:hAnsi="Times New Roman"/>
        </w:rPr>
      </w:pPr>
      <w:bookmarkStart w:id="9" w:name="_Toc436256501"/>
      <w:r>
        <w:rPr>
          <w:rFonts w:ascii="Times New Roman" w:hAnsi="Times New Roman"/>
        </w:rPr>
        <w:t>（一）总则</w:t>
      </w:r>
      <w:bookmarkEnd w:id="9"/>
    </w:p>
    <w:p>
      <w:pPr>
        <w:spacing w:before="60" w:after="60"/>
        <w:rPr>
          <w:rFonts w:ascii="Times New Roman" w:hAnsi="Times New Roman"/>
          <w:b/>
        </w:rPr>
      </w:pPr>
      <w:r>
        <w:rPr>
          <w:rFonts w:ascii="Times New Roman" w:hAnsi="Times New Roman"/>
          <w:b/>
        </w:rPr>
        <w:t>1、项目说明</w:t>
      </w:r>
    </w:p>
    <w:p>
      <w:pPr>
        <w:ind w:firstLine="480" w:firstLineChars="200"/>
        <w:rPr>
          <w:rFonts w:ascii="Times New Roman" w:hAnsi="Times New Roman"/>
        </w:rPr>
      </w:pPr>
      <w:r>
        <w:rPr>
          <w:rFonts w:ascii="Times New Roman" w:hAnsi="Times New Roman"/>
        </w:rPr>
        <w:t>1.1项目名称：见前附表。</w:t>
      </w:r>
    </w:p>
    <w:p>
      <w:pPr>
        <w:ind w:firstLine="480" w:firstLineChars="200"/>
        <w:rPr>
          <w:rFonts w:ascii="Times New Roman" w:hAnsi="Times New Roman"/>
        </w:rPr>
      </w:pPr>
      <w:r>
        <w:rPr>
          <w:rFonts w:ascii="Times New Roman" w:hAnsi="Times New Roman"/>
        </w:rPr>
        <w:t>1.2采购人：见前附表。</w:t>
      </w:r>
    </w:p>
    <w:p>
      <w:pPr>
        <w:ind w:firstLine="480" w:firstLineChars="200"/>
        <w:rPr>
          <w:rFonts w:ascii="Times New Roman" w:hAnsi="Times New Roman"/>
        </w:rPr>
      </w:pPr>
      <w:r>
        <w:rPr>
          <w:rFonts w:ascii="Times New Roman" w:hAnsi="Times New Roman"/>
        </w:rPr>
        <w:t>1.3项目内容：见前附表。</w:t>
      </w:r>
    </w:p>
    <w:p>
      <w:pPr>
        <w:spacing w:before="60" w:after="60"/>
        <w:rPr>
          <w:rFonts w:ascii="Times New Roman" w:hAnsi="Times New Roman"/>
          <w:b/>
        </w:rPr>
      </w:pPr>
      <w:r>
        <w:rPr>
          <w:rFonts w:ascii="Times New Roman" w:hAnsi="Times New Roman"/>
          <w:b/>
        </w:rPr>
        <w:t>2、采购范围</w:t>
      </w:r>
    </w:p>
    <w:p>
      <w:pPr>
        <w:adjustRightInd w:val="0"/>
        <w:ind w:firstLine="480" w:firstLineChars="200"/>
        <w:textAlignment w:val="baseline"/>
        <w:rPr>
          <w:rFonts w:ascii="Times New Roman" w:hAnsi="Times New Roman"/>
          <w:kern w:val="0"/>
          <w:szCs w:val="24"/>
        </w:rPr>
      </w:pPr>
      <w:r>
        <w:rPr>
          <w:rFonts w:ascii="Times New Roman" w:hAnsi="Times New Roman"/>
          <w:kern w:val="0"/>
          <w:szCs w:val="24"/>
        </w:rPr>
        <w:t>2.1本次采购范围：见前附表。</w:t>
      </w:r>
    </w:p>
    <w:p>
      <w:pPr>
        <w:spacing w:before="60" w:after="60"/>
        <w:rPr>
          <w:rFonts w:ascii="Times New Roman" w:hAnsi="Times New Roman"/>
          <w:b/>
        </w:rPr>
      </w:pPr>
      <w:r>
        <w:rPr>
          <w:rFonts w:ascii="Times New Roman" w:hAnsi="Times New Roman"/>
          <w:b/>
        </w:rPr>
        <w:t>3、资金来源、预算金额</w:t>
      </w:r>
    </w:p>
    <w:p>
      <w:pPr>
        <w:adjustRightInd w:val="0"/>
        <w:ind w:firstLine="480" w:firstLineChars="200"/>
        <w:textAlignment w:val="baseline"/>
        <w:rPr>
          <w:rFonts w:ascii="Times New Roman" w:hAnsi="Times New Roman"/>
          <w:kern w:val="0"/>
          <w:szCs w:val="24"/>
        </w:rPr>
      </w:pPr>
      <w:r>
        <w:rPr>
          <w:rFonts w:ascii="Times New Roman" w:hAnsi="Times New Roman"/>
          <w:kern w:val="0"/>
          <w:szCs w:val="24"/>
        </w:rPr>
        <w:t>3.1资金来源：见前附表。</w:t>
      </w:r>
    </w:p>
    <w:p>
      <w:pPr>
        <w:adjustRightInd w:val="0"/>
        <w:ind w:firstLine="480" w:firstLineChars="200"/>
        <w:textAlignment w:val="baseline"/>
        <w:rPr>
          <w:rFonts w:ascii="Times New Roman" w:hAnsi="Times New Roman"/>
          <w:kern w:val="0"/>
          <w:szCs w:val="24"/>
        </w:rPr>
      </w:pPr>
      <w:r>
        <w:rPr>
          <w:rFonts w:ascii="Times New Roman" w:hAnsi="Times New Roman"/>
          <w:kern w:val="0"/>
          <w:szCs w:val="24"/>
        </w:rPr>
        <w:t>3.2</w:t>
      </w:r>
      <w:r>
        <w:rPr>
          <w:rFonts w:hint="eastAsia" w:ascii="Times New Roman" w:hAnsi="Times New Roman"/>
          <w:kern w:val="0"/>
          <w:szCs w:val="24"/>
          <w:lang w:eastAsia="zh-CN"/>
        </w:rPr>
        <w:t>最低限价</w:t>
      </w:r>
      <w:r>
        <w:rPr>
          <w:rFonts w:ascii="Times New Roman" w:hAnsi="Times New Roman"/>
          <w:kern w:val="0"/>
          <w:szCs w:val="24"/>
        </w:rPr>
        <w:t>：人民币</w:t>
      </w:r>
      <w:r>
        <w:rPr>
          <w:rFonts w:hint="eastAsia" w:ascii="Times New Roman" w:hAnsi="Times New Roman"/>
          <w:kern w:val="0"/>
          <w:szCs w:val="24"/>
          <w:lang w:val="en-US" w:eastAsia="zh-CN"/>
        </w:rPr>
        <w:t>104825</w:t>
      </w:r>
      <w:r>
        <w:rPr>
          <w:rFonts w:ascii="Times New Roman" w:hAnsi="Times New Roman"/>
          <w:kern w:val="0"/>
          <w:szCs w:val="24"/>
        </w:rPr>
        <w:t>元。</w:t>
      </w:r>
    </w:p>
    <w:p>
      <w:pPr>
        <w:spacing w:before="60" w:after="60"/>
        <w:rPr>
          <w:rFonts w:ascii="Times New Roman" w:hAnsi="Times New Roman"/>
          <w:b/>
        </w:rPr>
      </w:pPr>
      <w:r>
        <w:rPr>
          <w:rFonts w:ascii="Times New Roman" w:hAnsi="Times New Roman"/>
          <w:b/>
        </w:rPr>
        <w:t>4、合格的供应商</w:t>
      </w:r>
    </w:p>
    <w:p>
      <w:pPr>
        <w:adjustRightInd w:val="0"/>
        <w:ind w:firstLine="480" w:firstLineChars="200"/>
        <w:textAlignment w:val="baseline"/>
        <w:rPr>
          <w:rFonts w:ascii="Times New Roman" w:hAnsi="Times New Roman"/>
          <w:kern w:val="0"/>
          <w:szCs w:val="24"/>
        </w:rPr>
      </w:pPr>
      <w:r>
        <w:rPr>
          <w:rFonts w:ascii="Times New Roman" w:hAnsi="Times New Roman"/>
          <w:kern w:val="0"/>
          <w:szCs w:val="24"/>
        </w:rPr>
        <w:t>4.1供应商须具备资质：见前附表。</w:t>
      </w:r>
    </w:p>
    <w:p>
      <w:pPr>
        <w:spacing w:before="60" w:after="60"/>
        <w:rPr>
          <w:rFonts w:ascii="Times New Roman" w:hAnsi="Times New Roman"/>
          <w:b/>
        </w:rPr>
      </w:pPr>
      <w:r>
        <w:rPr>
          <w:rFonts w:ascii="Times New Roman" w:hAnsi="Times New Roman"/>
          <w:b/>
        </w:rPr>
        <w:t>5．采购方式</w:t>
      </w:r>
    </w:p>
    <w:p>
      <w:pPr>
        <w:adjustRightInd w:val="0"/>
        <w:ind w:firstLine="480" w:firstLineChars="200"/>
        <w:textAlignment w:val="baseline"/>
        <w:rPr>
          <w:rFonts w:ascii="Times New Roman" w:hAnsi="Times New Roman"/>
          <w:kern w:val="0"/>
          <w:szCs w:val="24"/>
        </w:rPr>
      </w:pPr>
      <w:r>
        <w:rPr>
          <w:rFonts w:ascii="Times New Roman" w:hAnsi="Times New Roman"/>
          <w:kern w:val="0"/>
          <w:szCs w:val="24"/>
        </w:rPr>
        <w:t>5.1．本采购项目按照《中华人民共和国政府采购法》等有关法律、行政法规和部门规章，通过竞争性磋商的方式，按竞争性磋商文件中规定的评审办法对供应商进行综合评价，择优选择服务单位。</w:t>
      </w:r>
    </w:p>
    <w:p>
      <w:pPr>
        <w:spacing w:before="60" w:after="60"/>
        <w:rPr>
          <w:rFonts w:ascii="Times New Roman" w:hAnsi="Times New Roman"/>
          <w:b/>
        </w:rPr>
      </w:pPr>
      <w:r>
        <w:rPr>
          <w:rFonts w:ascii="Times New Roman" w:hAnsi="Times New Roman"/>
          <w:b/>
        </w:rPr>
        <w:t>6．服务要求</w:t>
      </w:r>
    </w:p>
    <w:p>
      <w:pPr>
        <w:adjustRightInd w:val="0"/>
        <w:ind w:firstLine="480" w:firstLineChars="200"/>
        <w:textAlignment w:val="baseline"/>
        <w:rPr>
          <w:rFonts w:ascii="Times New Roman" w:hAnsi="Times New Roman"/>
          <w:kern w:val="0"/>
          <w:szCs w:val="24"/>
        </w:rPr>
      </w:pPr>
      <w:r>
        <w:rPr>
          <w:rFonts w:ascii="Times New Roman" w:hAnsi="Times New Roman"/>
          <w:kern w:val="0"/>
          <w:szCs w:val="24"/>
        </w:rPr>
        <w:t>6.1．本项目服务要求：供应商应承诺按照采购人规定的要求，在规定的时间内完成此项目。</w:t>
      </w:r>
    </w:p>
    <w:p>
      <w:pPr>
        <w:spacing w:before="60" w:after="60"/>
        <w:rPr>
          <w:rFonts w:ascii="Times New Roman" w:hAnsi="Times New Roman"/>
          <w:b/>
        </w:rPr>
      </w:pPr>
      <w:r>
        <w:rPr>
          <w:rFonts w:ascii="Times New Roman" w:hAnsi="Times New Roman"/>
          <w:b/>
        </w:rPr>
        <w:t>7、答疑</w:t>
      </w:r>
    </w:p>
    <w:p>
      <w:pPr>
        <w:ind w:firstLine="480" w:firstLineChars="200"/>
        <w:rPr>
          <w:rFonts w:ascii="Times New Roman" w:hAnsi="Times New Roman"/>
        </w:rPr>
      </w:pPr>
      <w:r>
        <w:rPr>
          <w:rFonts w:ascii="Times New Roman" w:hAnsi="Times New Roman"/>
        </w:rPr>
        <w:t>7.1供应商接到竞争性磋商文件后，请仔细阅读竞争性磋商文件的内容，供应商如发现任何疑问，请用A4纸张打印，并加盖单位公章以文字形式交到或以传真形式传真到采购单位。</w:t>
      </w:r>
    </w:p>
    <w:p>
      <w:pPr>
        <w:ind w:firstLine="480" w:firstLineChars="200"/>
        <w:rPr>
          <w:rFonts w:ascii="Times New Roman" w:hAnsi="Times New Roman"/>
        </w:rPr>
      </w:pPr>
      <w:r>
        <w:rPr>
          <w:rFonts w:ascii="Times New Roman" w:hAnsi="Times New Roman"/>
        </w:rPr>
        <w:t>7.2供应商提出的所有问题都应以书面的形式向采购人提出，采购人将以书面的形式回复，并发给所有供应商，回复中不含问题的来源。</w:t>
      </w:r>
    </w:p>
    <w:p>
      <w:pPr>
        <w:spacing w:before="60" w:after="60"/>
        <w:rPr>
          <w:rFonts w:ascii="Times New Roman" w:hAnsi="Times New Roman"/>
          <w:b/>
        </w:rPr>
      </w:pPr>
      <w:r>
        <w:rPr>
          <w:rFonts w:ascii="Times New Roman" w:hAnsi="Times New Roman"/>
          <w:b/>
        </w:rPr>
        <w:t>8、参与本次采购的费用</w:t>
      </w:r>
    </w:p>
    <w:p>
      <w:pPr>
        <w:ind w:firstLine="480" w:firstLineChars="200"/>
        <w:rPr>
          <w:rFonts w:ascii="Times New Roman" w:hAnsi="Times New Roman"/>
        </w:rPr>
      </w:pPr>
      <w:r>
        <w:rPr>
          <w:rFonts w:ascii="Times New Roman" w:hAnsi="Times New Roman"/>
        </w:rPr>
        <w:t>8.1供应商应承担其编制响应文件与递交响应文件所涉及的一切费用。不论成交结果如何，采购人在任何情况下无义务也无责任承担这些费用。</w:t>
      </w:r>
    </w:p>
    <w:p>
      <w:pPr>
        <w:pStyle w:val="4"/>
        <w:spacing w:before="120" w:beforeLines="50" w:after="120" w:afterLines="50"/>
        <w:rPr>
          <w:rFonts w:ascii="Times New Roman" w:hAnsi="Times New Roman"/>
          <w:kern w:val="0"/>
        </w:rPr>
      </w:pPr>
      <w:bookmarkStart w:id="10" w:name="_Toc436256502"/>
      <w:r>
        <w:rPr>
          <w:rFonts w:ascii="Times New Roman" w:hAnsi="Times New Roman"/>
          <w:kern w:val="0"/>
        </w:rPr>
        <w:t>（二）</w:t>
      </w:r>
      <w:bookmarkEnd w:id="10"/>
      <w:r>
        <w:rPr>
          <w:rFonts w:ascii="Times New Roman" w:hAnsi="Times New Roman"/>
          <w:kern w:val="0"/>
        </w:rPr>
        <w:t>竞争性磋商文件</w:t>
      </w:r>
    </w:p>
    <w:p>
      <w:pPr>
        <w:spacing w:before="60" w:after="60"/>
        <w:rPr>
          <w:rFonts w:ascii="Times New Roman" w:hAnsi="Times New Roman"/>
          <w:b/>
        </w:rPr>
      </w:pPr>
      <w:r>
        <w:rPr>
          <w:rFonts w:ascii="Times New Roman" w:hAnsi="Times New Roman"/>
          <w:b/>
        </w:rPr>
        <w:t>9、竞争性磋商文件的组成</w:t>
      </w:r>
    </w:p>
    <w:p>
      <w:pPr>
        <w:ind w:firstLine="480" w:firstLineChars="200"/>
        <w:rPr>
          <w:rFonts w:ascii="Times New Roman" w:hAnsi="Times New Roman"/>
        </w:rPr>
      </w:pPr>
      <w:r>
        <w:rPr>
          <w:rFonts w:ascii="Times New Roman" w:hAnsi="Times New Roman"/>
        </w:rPr>
        <w:t>9.1竞争性磋商文件除以下内容外，采购人在采购期间发出的答疑纪要和其它补充修改函件，均是竞争性磋商文件的组成部分，对供应商起约束作用。</w:t>
      </w:r>
    </w:p>
    <w:p>
      <w:pPr>
        <w:ind w:firstLine="480" w:firstLineChars="200"/>
        <w:rPr>
          <w:rFonts w:ascii="Times New Roman" w:hAnsi="Times New Roman"/>
        </w:rPr>
      </w:pPr>
      <w:r>
        <w:rPr>
          <w:rFonts w:ascii="Times New Roman" w:hAnsi="Times New Roman"/>
        </w:rPr>
        <w:t>竞争性磋商文件包括下列内容：</w:t>
      </w:r>
    </w:p>
    <w:p>
      <w:pPr>
        <w:ind w:firstLine="480" w:firstLineChars="200"/>
        <w:rPr>
          <w:rFonts w:ascii="Times New Roman" w:hAnsi="Times New Roman"/>
        </w:rPr>
      </w:pPr>
      <w:r>
        <w:rPr>
          <w:rFonts w:ascii="Times New Roman" w:hAnsi="Times New Roman"/>
        </w:rPr>
        <w:t>第一章 竞争性磋商邀请</w:t>
      </w:r>
      <w:r>
        <w:rPr>
          <w:rFonts w:ascii="Times New Roman" w:hAnsi="Times New Roman"/>
        </w:rPr>
        <w:tab/>
      </w:r>
    </w:p>
    <w:p>
      <w:pPr>
        <w:ind w:firstLine="480" w:firstLineChars="200"/>
        <w:rPr>
          <w:rFonts w:ascii="Times New Roman" w:hAnsi="Times New Roman"/>
        </w:rPr>
      </w:pPr>
      <w:r>
        <w:rPr>
          <w:rFonts w:ascii="Times New Roman" w:hAnsi="Times New Roman"/>
        </w:rPr>
        <w:t>第二章 供应商须知前附表</w:t>
      </w:r>
      <w:r>
        <w:rPr>
          <w:rFonts w:ascii="Times New Roman" w:hAnsi="Times New Roman"/>
        </w:rPr>
        <w:tab/>
      </w:r>
    </w:p>
    <w:p>
      <w:pPr>
        <w:ind w:firstLine="480" w:firstLineChars="200"/>
        <w:rPr>
          <w:rFonts w:ascii="Times New Roman" w:hAnsi="Times New Roman"/>
        </w:rPr>
      </w:pPr>
      <w:r>
        <w:rPr>
          <w:rFonts w:ascii="Times New Roman" w:hAnsi="Times New Roman"/>
        </w:rPr>
        <w:t>第三章 评审办法</w:t>
      </w:r>
      <w:r>
        <w:rPr>
          <w:rFonts w:ascii="Times New Roman" w:hAnsi="Times New Roman"/>
        </w:rPr>
        <w:tab/>
      </w:r>
    </w:p>
    <w:p>
      <w:pPr>
        <w:ind w:firstLine="480" w:firstLineChars="200"/>
        <w:rPr>
          <w:rFonts w:ascii="Times New Roman" w:hAnsi="Times New Roman"/>
        </w:rPr>
      </w:pPr>
      <w:r>
        <w:rPr>
          <w:rFonts w:ascii="Times New Roman" w:hAnsi="Times New Roman"/>
        </w:rPr>
        <w:t>第四章 项目需求</w:t>
      </w:r>
      <w:r>
        <w:rPr>
          <w:rFonts w:ascii="Times New Roman" w:hAnsi="Times New Roman"/>
          <w:color w:val="FF0000"/>
        </w:rPr>
        <w:tab/>
      </w:r>
    </w:p>
    <w:p>
      <w:pPr>
        <w:ind w:firstLine="480" w:firstLineChars="200"/>
        <w:rPr>
          <w:rFonts w:ascii="Times New Roman" w:hAnsi="Times New Roman"/>
        </w:rPr>
      </w:pPr>
      <w:r>
        <w:rPr>
          <w:rFonts w:ascii="Times New Roman" w:hAnsi="Times New Roman"/>
        </w:rPr>
        <w:t xml:space="preserve">第五章 </w:t>
      </w:r>
      <w:r>
        <w:rPr>
          <w:rFonts w:hint="eastAsia" w:ascii="Times New Roman" w:hAnsi="Times New Roman"/>
        </w:rPr>
        <w:t>合同</w:t>
      </w:r>
      <w:r>
        <w:rPr>
          <w:rFonts w:ascii="Times New Roman" w:hAnsi="Times New Roman"/>
        </w:rPr>
        <w:t>格式</w:t>
      </w:r>
    </w:p>
    <w:p>
      <w:pPr>
        <w:ind w:firstLine="480" w:firstLineChars="200"/>
        <w:rPr>
          <w:rFonts w:ascii="Times New Roman" w:hAnsi="Times New Roman"/>
        </w:rPr>
      </w:pPr>
      <w:r>
        <w:rPr>
          <w:rFonts w:ascii="Times New Roman" w:hAnsi="Times New Roman"/>
        </w:rPr>
        <w:t>第</w:t>
      </w:r>
      <w:r>
        <w:rPr>
          <w:rFonts w:hint="eastAsia" w:ascii="Times New Roman" w:hAnsi="Times New Roman"/>
        </w:rPr>
        <w:t>六</w:t>
      </w:r>
      <w:r>
        <w:rPr>
          <w:rFonts w:ascii="Times New Roman" w:hAnsi="Times New Roman"/>
        </w:rPr>
        <w:t>章 响应文件格式</w:t>
      </w:r>
    </w:p>
    <w:p>
      <w:pPr>
        <w:ind w:firstLine="480" w:firstLineChars="200"/>
        <w:rPr>
          <w:rFonts w:ascii="Times New Roman" w:hAnsi="Times New Roman"/>
        </w:rPr>
      </w:pPr>
      <w:r>
        <w:rPr>
          <w:rFonts w:ascii="Times New Roman" w:hAnsi="Times New Roman"/>
        </w:rPr>
        <w:t>9.2供应商购取竞争性磋商文件后，应仔细检查竞争性磋商文件的所有内容，如有残缺应在领到竞争性磋商文件后24小时内向采购人提出，否则，由此引起的损失自负；供应商同时应认真审阅竞争性磋商文件中所有的事项、格式、条款和规范要求等，如果供应商的响应文件没有按照竞争性磋商文件要求提交全部资料或者响应文件没有对竞争性磋商文件做出实质性响应，其风险应由供应商自行承担，并根据有关规定，其报价有可能被拒绝。</w:t>
      </w:r>
    </w:p>
    <w:p>
      <w:pPr>
        <w:spacing w:before="60" w:after="60"/>
        <w:rPr>
          <w:rFonts w:ascii="Times New Roman" w:hAnsi="Times New Roman"/>
          <w:b/>
        </w:rPr>
      </w:pPr>
      <w:bookmarkStart w:id="11" w:name="_Toc70687147"/>
      <w:bookmarkStart w:id="12" w:name="_Toc389620172"/>
      <w:bookmarkStart w:id="13" w:name="_Toc385992333"/>
      <w:bookmarkStart w:id="14" w:name="_Toc184043020"/>
      <w:r>
        <w:rPr>
          <w:rFonts w:ascii="Times New Roman" w:hAnsi="Times New Roman"/>
          <w:b/>
        </w:rPr>
        <w:t>10. 竞争性磋商文件的澄清</w:t>
      </w:r>
      <w:bookmarkEnd w:id="11"/>
      <w:bookmarkEnd w:id="12"/>
      <w:bookmarkEnd w:id="13"/>
      <w:bookmarkEnd w:id="14"/>
      <w:r>
        <w:rPr>
          <w:rFonts w:ascii="Times New Roman" w:hAnsi="Times New Roman"/>
          <w:b/>
        </w:rPr>
        <w:t>和修改</w:t>
      </w:r>
    </w:p>
    <w:p>
      <w:pPr>
        <w:ind w:firstLine="480" w:firstLineChars="200"/>
        <w:rPr>
          <w:rFonts w:ascii="Times New Roman" w:hAnsi="Times New Roman"/>
        </w:rPr>
      </w:pPr>
      <w:r>
        <w:rPr>
          <w:rFonts w:ascii="Times New Roman" w:hAnsi="Times New Roman"/>
        </w:rPr>
        <w:t>10.1任何已登记备案并领取了竞争性磋商文件的潜在供应商，在发现竞争性磋商文件存在混淆或错乱等问题时，可要求采购人对竞争性磋商文件进行澄清。澄清要求应在响应文件截止期5日前，按竞争性磋商采购邀请书中的联系地址以书面形式送达采购人，采购人将以书面形式予以答复，答复中包括原提出的问题，但不包括问题的来源。</w:t>
      </w:r>
    </w:p>
    <w:p>
      <w:pPr>
        <w:ind w:firstLine="480" w:firstLineChars="200"/>
        <w:rPr>
          <w:rFonts w:ascii="Times New Roman" w:hAnsi="Times New Roman"/>
        </w:rPr>
      </w:pPr>
      <w:r>
        <w:rPr>
          <w:rFonts w:ascii="Times New Roman" w:hAnsi="Times New Roman"/>
        </w:rPr>
        <w:t>10.2在响应文件截止期5日前任何时候，采购人无论出于何种原因，均可对竞争性磋商文件用补充文件的方式进行澄清和修改。该文件为竞争性磋商文件的组成部分，对所有领取了竞争性磋商文件的潜在供应商均具有约束力。</w:t>
      </w:r>
    </w:p>
    <w:p>
      <w:pPr>
        <w:ind w:firstLine="480" w:firstLineChars="200"/>
        <w:rPr>
          <w:rFonts w:ascii="Times New Roman" w:hAnsi="Times New Roman"/>
        </w:rPr>
      </w:pPr>
      <w:r>
        <w:rPr>
          <w:rFonts w:ascii="Times New Roman" w:hAnsi="Times New Roman"/>
        </w:rPr>
        <w:t>10.3对竞争性磋商文件的澄清和修改，将书面通知已领取竞争性磋商文件的潜在供应商，并在刊登本次竞争性磋商采购邀请的媒体上发布变更公告。供应商应于收到补充文件的当日以书面形式回复确认。</w:t>
      </w:r>
    </w:p>
    <w:p>
      <w:pPr>
        <w:ind w:firstLine="480" w:firstLineChars="200"/>
        <w:rPr>
          <w:rFonts w:ascii="Times New Roman" w:hAnsi="Times New Roman"/>
        </w:rPr>
      </w:pPr>
      <w:r>
        <w:rPr>
          <w:rFonts w:ascii="Times New Roman" w:hAnsi="Times New Roman"/>
        </w:rPr>
        <w:t>10.4为使供应商有足够的时间按竞争性磋商文件的修改要求修正响应文件，采购人可酌情推迟响应文件的递交截止日期和开启时间，并在提交响应文件递交截至时间5日前，书面通知所有登记并备案并领取了竞争性磋商文件的潜在供应商，同时在本次刊登竞争性磋商采购邀请的媒体上发布变更公告。采购人和供应商的权利及义务将受到新的截止期的约束。</w:t>
      </w:r>
    </w:p>
    <w:p>
      <w:pPr>
        <w:ind w:firstLine="480" w:firstLineChars="200"/>
        <w:rPr>
          <w:rFonts w:ascii="Times New Roman" w:hAnsi="Times New Roman"/>
        </w:rPr>
      </w:pPr>
      <w:r>
        <w:rPr>
          <w:rFonts w:ascii="Times New Roman" w:hAnsi="Times New Roman"/>
        </w:rPr>
        <w:t>10.5采购人将视情况确定是否有必要召开磋商前答疑会。如果召开磋商前答疑会，采购人将通知所有已领取了竞争性磋商文件的供应商。</w:t>
      </w:r>
    </w:p>
    <w:p>
      <w:pPr>
        <w:pStyle w:val="4"/>
        <w:spacing w:before="120" w:beforeLines="50" w:after="120" w:afterLines="50"/>
        <w:rPr>
          <w:rFonts w:ascii="Times New Roman" w:hAnsi="Times New Roman"/>
        </w:rPr>
      </w:pPr>
      <w:bookmarkStart w:id="15" w:name="_Toc436256503"/>
      <w:r>
        <w:rPr>
          <w:rFonts w:ascii="Times New Roman" w:hAnsi="Times New Roman"/>
        </w:rPr>
        <w:t>（三）响应文件的编制</w:t>
      </w:r>
      <w:bookmarkEnd w:id="15"/>
    </w:p>
    <w:p>
      <w:pPr>
        <w:spacing w:before="60" w:after="60"/>
        <w:rPr>
          <w:rFonts w:ascii="Times New Roman" w:hAnsi="Times New Roman"/>
          <w:b/>
        </w:rPr>
      </w:pPr>
      <w:r>
        <w:rPr>
          <w:rFonts w:ascii="Times New Roman" w:hAnsi="Times New Roman"/>
          <w:b/>
        </w:rPr>
        <w:t>11、响应文件的语言及度量衡单位</w:t>
      </w:r>
    </w:p>
    <w:p>
      <w:pPr>
        <w:adjustRightInd w:val="0"/>
        <w:ind w:firstLine="480" w:firstLineChars="200"/>
        <w:textAlignment w:val="baseline"/>
        <w:rPr>
          <w:rFonts w:ascii="Times New Roman" w:hAnsi="Times New Roman"/>
          <w:kern w:val="0"/>
          <w:szCs w:val="24"/>
        </w:rPr>
      </w:pPr>
      <w:r>
        <w:rPr>
          <w:rFonts w:ascii="Times New Roman" w:hAnsi="Times New Roman"/>
          <w:kern w:val="0"/>
          <w:szCs w:val="24"/>
        </w:rPr>
        <w:t>11.1供应商和采购人之间与磋商有关的所有往来通知、函件和响应文件均应用简体中文且以之为准。</w:t>
      </w:r>
    </w:p>
    <w:p>
      <w:pPr>
        <w:adjustRightInd w:val="0"/>
        <w:ind w:firstLine="480" w:firstLineChars="200"/>
        <w:textAlignment w:val="baseline"/>
        <w:rPr>
          <w:rFonts w:ascii="Times New Roman" w:hAnsi="Times New Roman"/>
          <w:kern w:val="0"/>
          <w:szCs w:val="24"/>
        </w:rPr>
      </w:pPr>
      <w:r>
        <w:rPr>
          <w:rFonts w:ascii="Times New Roman" w:hAnsi="Times New Roman"/>
          <w:kern w:val="0"/>
          <w:szCs w:val="24"/>
        </w:rPr>
        <w:t>11.2响应文件使用的度量衡单位，均采用中华人民共和国法定计量单位。</w:t>
      </w:r>
    </w:p>
    <w:p>
      <w:pPr>
        <w:spacing w:before="60" w:after="60"/>
        <w:rPr>
          <w:rFonts w:ascii="Times New Roman" w:hAnsi="Times New Roman"/>
          <w:b/>
        </w:rPr>
      </w:pPr>
      <w:bookmarkStart w:id="16" w:name="_Toc67626300"/>
      <w:r>
        <w:rPr>
          <w:rFonts w:ascii="Times New Roman" w:hAnsi="Times New Roman"/>
          <w:b/>
        </w:rPr>
        <w:t>12、响应文件的组成</w:t>
      </w:r>
    </w:p>
    <w:p>
      <w:pPr>
        <w:adjustRightInd w:val="0"/>
        <w:ind w:firstLine="480" w:firstLineChars="200"/>
        <w:textAlignment w:val="baseline"/>
        <w:rPr>
          <w:rFonts w:ascii="Times New Roman" w:hAnsi="Times New Roman"/>
          <w:kern w:val="0"/>
          <w:szCs w:val="24"/>
        </w:rPr>
      </w:pPr>
      <w:r>
        <w:rPr>
          <w:rFonts w:ascii="Times New Roman" w:hAnsi="Times New Roman"/>
          <w:kern w:val="0"/>
          <w:szCs w:val="24"/>
        </w:rPr>
        <w:t>12.1文件：响应函、报价一览表、分项报价表、采购需求偏离表、法人代表授权书、资格证明文件、响应保证金等，按照本须知第12条规定和第五章提供的格式提交。</w:t>
      </w:r>
    </w:p>
    <w:p>
      <w:pPr>
        <w:tabs>
          <w:tab w:val="left" w:pos="1129"/>
        </w:tabs>
        <w:ind w:left="480"/>
        <w:rPr>
          <w:rFonts w:ascii="Times New Roman" w:hAnsi="Times New Roman"/>
        </w:rPr>
      </w:pPr>
      <w:r>
        <w:rPr>
          <w:rFonts w:ascii="Times New Roman" w:hAnsi="Times New Roman"/>
          <w:szCs w:val="24"/>
        </w:rPr>
        <w:t>12.2供应商应将响应文件详列目录装订成册，并编制“目录、页码”，以便阅读。</w:t>
      </w:r>
    </w:p>
    <w:p>
      <w:pPr>
        <w:spacing w:before="60" w:after="60"/>
        <w:rPr>
          <w:rFonts w:ascii="Times New Roman" w:hAnsi="Times New Roman"/>
          <w:b/>
        </w:rPr>
      </w:pPr>
      <w:r>
        <w:rPr>
          <w:rFonts w:ascii="Times New Roman" w:hAnsi="Times New Roman"/>
          <w:b/>
        </w:rPr>
        <w:t>13、响应文件格式及要求</w:t>
      </w:r>
    </w:p>
    <w:p>
      <w:pPr>
        <w:adjustRightInd w:val="0"/>
        <w:ind w:firstLine="480" w:firstLineChars="200"/>
        <w:textAlignment w:val="baseline"/>
        <w:rPr>
          <w:rFonts w:ascii="Times New Roman" w:hAnsi="Times New Roman"/>
          <w:kern w:val="0"/>
          <w:szCs w:val="24"/>
        </w:rPr>
      </w:pPr>
      <w:r>
        <w:rPr>
          <w:rFonts w:ascii="Times New Roman" w:hAnsi="Times New Roman"/>
          <w:kern w:val="0"/>
          <w:szCs w:val="24"/>
        </w:rPr>
        <w:t>13.1响应文件应按照本须知相应项中规定的内容编制，供应商提交的响应文件必须毫无例外地使用竞争性磋商文件所提供的响应文件格式(表格可以按同样格式扩展)。</w:t>
      </w:r>
    </w:p>
    <w:p>
      <w:pPr>
        <w:adjustRightInd w:val="0"/>
        <w:ind w:firstLine="480" w:firstLineChars="200"/>
        <w:textAlignment w:val="baseline"/>
        <w:rPr>
          <w:rFonts w:ascii="Times New Roman" w:hAnsi="Times New Roman"/>
          <w:kern w:val="0"/>
          <w:szCs w:val="24"/>
        </w:rPr>
      </w:pPr>
      <w:r>
        <w:rPr>
          <w:rFonts w:ascii="Times New Roman" w:hAnsi="Times New Roman"/>
          <w:kern w:val="0"/>
          <w:szCs w:val="24"/>
        </w:rPr>
        <w:t>13.2响应文件的编排应按照本须知相应项的内容（包括表格）编制目录、并逐页编排页码。</w:t>
      </w:r>
    </w:p>
    <w:p>
      <w:pPr>
        <w:adjustRightInd w:val="0"/>
        <w:ind w:firstLine="480" w:firstLineChars="200"/>
        <w:textAlignment w:val="baseline"/>
        <w:rPr>
          <w:rFonts w:ascii="Times New Roman" w:hAnsi="Times New Roman"/>
          <w:kern w:val="0"/>
          <w:szCs w:val="24"/>
        </w:rPr>
      </w:pPr>
      <w:r>
        <w:rPr>
          <w:rFonts w:ascii="Times New Roman" w:hAnsi="Times New Roman"/>
          <w:kern w:val="0"/>
          <w:szCs w:val="24"/>
        </w:rPr>
        <w:t>13.3供应商应按“供应商须知前附表”中响应文件份数的规定提供响应文件（包括电子版）；响应文件的正本和副本均需打印，字迹应清晰易于辨认。并应在响应文件封面上清楚地注明“正本”或“副本”。正本和副本如有不一致之处，以正本为准；</w:t>
      </w:r>
    </w:p>
    <w:p>
      <w:pPr>
        <w:adjustRightInd w:val="0"/>
        <w:ind w:firstLine="480" w:firstLineChars="200"/>
        <w:textAlignment w:val="baseline"/>
        <w:rPr>
          <w:rFonts w:ascii="Times New Roman" w:hAnsi="Times New Roman"/>
          <w:szCs w:val="24"/>
        </w:rPr>
      </w:pPr>
      <w:r>
        <w:rPr>
          <w:rFonts w:ascii="Times New Roman" w:hAnsi="Times New Roman"/>
          <w:kern w:val="0"/>
          <w:szCs w:val="24"/>
        </w:rPr>
        <w:t>13.4响应文件封面、响应函均应加盖供应商印章并经法定代表人或其委托代理人签字或盖章。由委托代理人签字或盖章的在响应文件中必须同时提交响应文件签署授权委</w:t>
      </w:r>
      <w:r>
        <w:rPr>
          <w:rFonts w:ascii="Times New Roman" w:hAnsi="Times New Roman"/>
          <w:szCs w:val="24"/>
        </w:rPr>
        <w:t>托书，</w:t>
      </w:r>
      <w:r>
        <w:rPr>
          <w:rFonts w:ascii="Times New Roman" w:hAnsi="Times New Roman"/>
          <w:kern w:val="0"/>
          <w:szCs w:val="24"/>
        </w:rPr>
        <w:t>响应文件签署授权委托书格式、签字、盖章及内容均应符合要求，否则响应文件签署授权委托书无效；</w:t>
      </w:r>
    </w:p>
    <w:p>
      <w:pPr>
        <w:pStyle w:val="27"/>
        <w:ind w:firstLine="480" w:firstLineChars="200"/>
        <w:rPr>
          <w:rFonts w:ascii="Times New Roman" w:hAnsi="Times New Roman" w:cs="Times New Roman"/>
          <w:szCs w:val="24"/>
        </w:rPr>
      </w:pPr>
      <w:r>
        <w:rPr>
          <w:rFonts w:ascii="Times New Roman" w:hAnsi="Times New Roman" w:cs="Times New Roman"/>
          <w:szCs w:val="24"/>
        </w:rPr>
        <w:t>13.5除供应商对错误处必须修改外，全套响应文件应无涂改或行间插字和增删，如有修改，修改处应由供应商加盖供应商的校对章或由响应文件签字人签字或盖章。</w:t>
      </w:r>
    </w:p>
    <w:p>
      <w:pPr>
        <w:pStyle w:val="27"/>
        <w:ind w:firstLine="480" w:firstLineChars="200"/>
        <w:rPr>
          <w:rFonts w:ascii="Times New Roman" w:hAnsi="Times New Roman" w:cs="Times New Roman"/>
          <w:szCs w:val="24"/>
        </w:rPr>
      </w:pPr>
      <w:r>
        <w:rPr>
          <w:rFonts w:ascii="Times New Roman" w:hAnsi="Times New Roman" w:cs="Times New Roman"/>
          <w:szCs w:val="24"/>
        </w:rPr>
        <w:t>13.6响应文件因字迹潦草、或表达不清或者复印件模糊无法辨认所引起的后果由供应商负责。</w:t>
      </w:r>
    </w:p>
    <w:p>
      <w:pPr>
        <w:spacing w:before="60" w:after="60"/>
        <w:rPr>
          <w:rFonts w:ascii="Times New Roman" w:hAnsi="Times New Roman"/>
          <w:b/>
        </w:rPr>
      </w:pPr>
      <w:bookmarkStart w:id="17" w:name="_Toc67626291"/>
      <w:r>
        <w:rPr>
          <w:rFonts w:ascii="Times New Roman" w:hAnsi="Times New Roman"/>
          <w:b/>
        </w:rPr>
        <w:t>14、</w:t>
      </w:r>
      <w:bookmarkEnd w:id="17"/>
      <w:r>
        <w:rPr>
          <w:rFonts w:ascii="Times New Roman" w:hAnsi="Times New Roman"/>
          <w:b/>
        </w:rPr>
        <w:t>报价</w:t>
      </w:r>
    </w:p>
    <w:p>
      <w:pPr>
        <w:pStyle w:val="144"/>
        <w:rPr>
          <w:rFonts w:ascii="Times New Roman" w:hAnsi="Times New Roman" w:cs="Times New Roman"/>
          <w:sz w:val="24"/>
        </w:rPr>
      </w:pPr>
      <w:r>
        <w:rPr>
          <w:rFonts w:ascii="Times New Roman" w:hAnsi="Times New Roman" w:cs="Times New Roman"/>
          <w:sz w:val="24"/>
          <w:szCs w:val="24"/>
        </w:rPr>
        <w:t>14.1</w:t>
      </w:r>
      <w:r>
        <w:rPr>
          <w:rFonts w:ascii="Times New Roman" w:hAnsi="Times New Roman" w:eastAsia="宋体" w:cs="Times New Roman"/>
          <w:sz w:val="24"/>
          <w:szCs w:val="24"/>
        </w:rPr>
        <w:t>响应文件中的货物单价和总价无特殊规定的应采用人民币报价，以万元为单位。报价人的报价应遵守“中华人民共和国价格法”。</w:t>
      </w:r>
    </w:p>
    <w:p>
      <w:pPr>
        <w:pStyle w:val="144"/>
        <w:rPr>
          <w:rFonts w:ascii="Times New Roman" w:hAnsi="Times New Roman" w:eastAsia="宋体" w:cs="Times New Roman"/>
          <w:sz w:val="24"/>
          <w:szCs w:val="24"/>
        </w:rPr>
      </w:pPr>
      <w:r>
        <w:rPr>
          <w:rFonts w:ascii="Times New Roman" w:hAnsi="Times New Roman" w:cs="Times New Roman"/>
          <w:sz w:val="24"/>
          <w:szCs w:val="24"/>
        </w:rPr>
        <w:t>14.2</w:t>
      </w:r>
      <w:bookmarkStart w:id="18" w:name="_Toc439236197"/>
      <w:bookmarkStart w:id="19" w:name="_Toc436748188"/>
      <w:r>
        <w:rPr>
          <w:rFonts w:ascii="Times New Roman" w:hAnsi="Times New Roman" w:eastAsia="宋体" w:cs="Times New Roman"/>
          <w:sz w:val="24"/>
          <w:szCs w:val="24"/>
        </w:rPr>
        <w:t>报价一览表</w:t>
      </w:r>
      <w:bookmarkEnd w:id="18"/>
      <w:bookmarkEnd w:id="19"/>
      <w:bookmarkStart w:id="20" w:name="_Toc49090508"/>
      <w:bookmarkStart w:id="21" w:name="_Toc14577355"/>
      <w:r>
        <w:rPr>
          <w:rFonts w:ascii="Times New Roman" w:hAnsi="Times New Roman" w:eastAsia="宋体" w:cs="Times New Roman"/>
          <w:sz w:val="24"/>
          <w:szCs w:val="24"/>
        </w:rPr>
        <w:t>、</w:t>
      </w:r>
      <w:bookmarkEnd w:id="20"/>
      <w:bookmarkEnd w:id="21"/>
      <w:r>
        <w:rPr>
          <w:rFonts w:ascii="Times New Roman" w:hAnsi="Times New Roman" w:eastAsia="宋体" w:cs="Times New Roman"/>
          <w:color w:val="000000" w:themeColor="text1"/>
          <w:sz w:val="24"/>
          <w:szCs w:val="24"/>
        </w:rPr>
        <w:t>分项报价表</w:t>
      </w:r>
    </w:p>
    <w:p>
      <w:pPr>
        <w:pStyle w:val="144"/>
        <w:rPr>
          <w:rFonts w:ascii="Times New Roman" w:hAnsi="Times New Roman" w:eastAsia="宋体" w:cs="Times New Roman"/>
          <w:bCs/>
          <w:sz w:val="24"/>
          <w:szCs w:val="24"/>
        </w:rPr>
      </w:pPr>
      <w:bookmarkStart w:id="22" w:name="_Toc436748189"/>
      <w:bookmarkStart w:id="23" w:name="_Toc439236198"/>
      <w:r>
        <w:rPr>
          <w:rFonts w:ascii="Times New Roman" w:hAnsi="Times New Roman" w:eastAsia="宋体" w:cs="Times New Roman"/>
          <w:bCs/>
          <w:sz w:val="24"/>
          <w:szCs w:val="24"/>
        </w:rPr>
        <w:t>（1）供应商应按照竞争性磋商文件规定格式填报</w:t>
      </w:r>
      <w:r>
        <w:rPr>
          <w:rFonts w:ascii="Times New Roman" w:hAnsi="Times New Roman" w:eastAsia="宋体" w:cs="Times New Roman"/>
          <w:sz w:val="24"/>
          <w:szCs w:val="24"/>
        </w:rPr>
        <w:t>报价一览表、分项报价表</w:t>
      </w:r>
      <w:r>
        <w:rPr>
          <w:rFonts w:ascii="Times New Roman" w:hAnsi="Times New Roman" w:eastAsia="宋体" w:cs="Times New Roman"/>
          <w:bCs/>
          <w:sz w:val="24"/>
          <w:szCs w:val="24"/>
        </w:rPr>
        <w:t>。每项费用只允许有一个报价，任何有选择的报价将不予接受。</w:t>
      </w:r>
      <w:bookmarkEnd w:id="22"/>
      <w:bookmarkEnd w:id="23"/>
    </w:p>
    <w:p>
      <w:pPr>
        <w:pStyle w:val="144"/>
        <w:rPr>
          <w:rFonts w:ascii="Times New Roman" w:hAnsi="Times New Roman" w:eastAsia="宋体" w:cs="Times New Roman"/>
          <w:sz w:val="24"/>
          <w:szCs w:val="24"/>
        </w:rPr>
      </w:pPr>
      <w:r>
        <w:rPr>
          <w:rFonts w:ascii="Times New Roman" w:hAnsi="Times New Roman" w:eastAsia="宋体" w:cs="Times New Roman"/>
          <w:bCs/>
          <w:sz w:val="24"/>
          <w:szCs w:val="24"/>
        </w:rPr>
        <w:t>（2）采购人需求的货物和服务的供应、安装，调试及有关技术服务等</w:t>
      </w:r>
      <w:r>
        <w:rPr>
          <w:rFonts w:ascii="Times New Roman" w:hAnsi="Times New Roman" w:eastAsia="宋体" w:cs="Times New Roman"/>
          <w:sz w:val="24"/>
          <w:szCs w:val="24"/>
        </w:rPr>
        <w:t>。</w:t>
      </w:r>
    </w:p>
    <w:p>
      <w:pPr>
        <w:pStyle w:val="144"/>
        <w:rPr>
          <w:rFonts w:ascii="Times New Roman" w:hAnsi="Times New Roman" w:eastAsia="宋体" w:cs="Times New Roman"/>
          <w:bCs/>
          <w:sz w:val="24"/>
          <w:szCs w:val="24"/>
        </w:rPr>
      </w:pPr>
      <w:r>
        <w:rPr>
          <w:rFonts w:ascii="Times New Roman" w:hAnsi="Times New Roman" w:eastAsia="宋体" w:cs="Times New Roman"/>
          <w:bCs/>
          <w:sz w:val="24"/>
          <w:szCs w:val="24"/>
        </w:rPr>
        <w:t>（3）有关费用处理</w:t>
      </w:r>
    </w:p>
    <w:p>
      <w:pPr>
        <w:pStyle w:val="144"/>
        <w:rPr>
          <w:rFonts w:ascii="Times New Roman" w:hAnsi="Times New Roman" w:eastAsia="宋体" w:cs="Times New Roman"/>
          <w:bCs/>
          <w:sz w:val="24"/>
          <w:szCs w:val="24"/>
        </w:rPr>
      </w:pPr>
      <w:r>
        <w:rPr>
          <w:rFonts w:ascii="Times New Roman" w:hAnsi="Times New Roman" w:eastAsia="宋体" w:cs="Times New Roman"/>
          <w:sz w:val="24"/>
          <w:szCs w:val="24"/>
        </w:rPr>
        <w:t>竞争性磋商报价应包括但不限于所提供的货物的研发、供应、培训、人员费用、设备费用、税费及其他有关的为完成本项目发生的所有费用，竞争性磋商文件中另有规定的除外。</w:t>
      </w:r>
    </w:p>
    <w:p>
      <w:pPr>
        <w:pStyle w:val="144"/>
        <w:rPr>
          <w:rFonts w:ascii="Times New Roman" w:hAnsi="Times New Roman" w:eastAsia="宋体" w:cs="Times New Roman"/>
          <w:sz w:val="24"/>
          <w:szCs w:val="24"/>
        </w:rPr>
      </w:pPr>
      <w:r>
        <w:rPr>
          <w:rFonts w:ascii="Times New Roman" w:hAnsi="Times New Roman" w:eastAsia="宋体" w:cs="Times New Roman"/>
          <w:sz w:val="24"/>
          <w:szCs w:val="24"/>
        </w:rPr>
        <w:t>14.3竞争性磋商文件未列明，而供应商认为必需的费用也需列入报价。</w:t>
      </w:r>
    </w:p>
    <w:p>
      <w:pPr>
        <w:spacing w:before="60" w:after="60"/>
        <w:rPr>
          <w:rFonts w:ascii="Times New Roman" w:hAnsi="Times New Roman"/>
          <w:b/>
        </w:rPr>
      </w:pPr>
      <w:bookmarkStart w:id="24" w:name="_Hlt26670403"/>
      <w:bookmarkEnd w:id="24"/>
      <w:bookmarkStart w:id="25" w:name="_Hlt26954842"/>
      <w:bookmarkEnd w:id="25"/>
      <w:bookmarkStart w:id="26" w:name="_Hlt26670425"/>
      <w:bookmarkEnd w:id="26"/>
      <w:bookmarkStart w:id="27" w:name="_Hlt26954844"/>
      <w:bookmarkEnd w:id="27"/>
      <w:bookmarkStart w:id="28" w:name="_Hlt26670482"/>
      <w:bookmarkEnd w:id="28"/>
      <w:bookmarkStart w:id="29" w:name="_Hlt26668983"/>
      <w:bookmarkEnd w:id="29"/>
      <w:bookmarkStart w:id="30" w:name="_Hlt26670486"/>
      <w:bookmarkEnd w:id="30"/>
      <w:bookmarkStart w:id="31" w:name="_Hlt26954846"/>
      <w:bookmarkEnd w:id="31"/>
      <w:bookmarkStart w:id="32" w:name="_Hlt26954731"/>
      <w:bookmarkEnd w:id="32"/>
      <w:bookmarkStart w:id="33" w:name="_Hlt26954848"/>
      <w:bookmarkEnd w:id="33"/>
      <w:bookmarkStart w:id="34" w:name="_Toc385992344"/>
      <w:bookmarkStart w:id="35" w:name="_Toc389620183"/>
      <w:bookmarkStart w:id="36" w:name="_Toc184043031"/>
      <w:bookmarkStart w:id="37" w:name="_Toc70687158"/>
      <w:bookmarkStart w:id="38" w:name="_Toc67626297"/>
      <w:r>
        <w:rPr>
          <w:rFonts w:ascii="Times New Roman" w:hAnsi="Times New Roman"/>
          <w:b/>
        </w:rPr>
        <w:t>15．磋商保证金</w:t>
      </w:r>
      <w:bookmarkEnd w:id="34"/>
      <w:bookmarkEnd w:id="35"/>
      <w:bookmarkEnd w:id="36"/>
      <w:bookmarkEnd w:id="37"/>
    </w:p>
    <w:p>
      <w:pPr>
        <w:tabs>
          <w:tab w:val="left" w:pos="0"/>
        </w:tabs>
        <w:ind w:firstLine="480" w:firstLineChars="200"/>
        <w:rPr>
          <w:rFonts w:ascii="Times New Roman" w:hAnsi="Times New Roman"/>
          <w:kern w:val="0"/>
          <w:szCs w:val="24"/>
        </w:rPr>
      </w:pPr>
      <w:r>
        <w:rPr>
          <w:rFonts w:ascii="Times New Roman" w:hAnsi="Times New Roman"/>
          <w:kern w:val="0"/>
          <w:szCs w:val="24"/>
        </w:rPr>
        <w:t>15.1供应商应提交“供应商须知前附表”规定数额的磋商保证金，并作为其响应的一部分。</w:t>
      </w:r>
    </w:p>
    <w:p>
      <w:pPr>
        <w:tabs>
          <w:tab w:val="left" w:pos="0"/>
        </w:tabs>
        <w:ind w:firstLine="480" w:firstLineChars="200"/>
        <w:rPr>
          <w:rFonts w:ascii="Times New Roman" w:hAnsi="Times New Roman"/>
          <w:kern w:val="0"/>
          <w:szCs w:val="24"/>
        </w:rPr>
      </w:pPr>
      <w:r>
        <w:rPr>
          <w:rFonts w:ascii="Times New Roman" w:hAnsi="Times New Roman"/>
          <w:kern w:val="0"/>
          <w:szCs w:val="24"/>
        </w:rPr>
        <w:t>15.2磋商保证金是为了保护采购人免遭因供应商的行为而蒙受损失。采购人在因供应商的行为受到损害时可根据本须知第15.6条的规定没收供应商的磋商保证金。磋商保证金由采购人收取并退回。</w:t>
      </w:r>
    </w:p>
    <w:p>
      <w:pPr>
        <w:tabs>
          <w:tab w:val="left" w:pos="588"/>
        </w:tabs>
        <w:ind w:firstLine="480" w:firstLineChars="200"/>
        <w:rPr>
          <w:rFonts w:ascii="Times New Roman" w:hAnsi="Times New Roman"/>
          <w:kern w:val="0"/>
          <w:szCs w:val="24"/>
        </w:rPr>
      </w:pPr>
      <w:r>
        <w:rPr>
          <w:rFonts w:ascii="Times New Roman" w:hAnsi="Times New Roman"/>
          <w:kern w:val="24"/>
          <w:szCs w:val="24"/>
        </w:rPr>
        <w:t>15.3磋商保证金的货币为人民币，</w:t>
      </w:r>
      <w:r>
        <w:rPr>
          <w:rFonts w:ascii="Times New Roman" w:hAnsi="Times New Roman"/>
          <w:kern w:val="0"/>
          <w:szCs w:val="24"/>
        </w:rPr>
        <w:t>响应保证金应于投标时以现金方式递交。</w:t>
      </w:r>
    </w:p>
    <w:p>
      <w:pPr>
        <w:tabs>
          <w:tab w:val="left" w:pos="588"/>
        </w:tabs>
        <w:ind w:firstLine="480" w:firstLineChars="200"/>
        <w:rPr>
          <w:rFonts w:ascii="Times New Roman" w:hAnsi="Times New Roman"/>
          <w:kern w:val="24"/>
          <w:szCs w:val="24"/>
        </w:rPr>
      </w:pPr>
      <w:r>
        <w:rPr>
          <w:rFonts w:ascii="Times New Roman" w:hAnsi="Times New Roman"/>
          <w:kern w:val="24"/>
          <w:szCs w:val="24"/>
        </w:rPr>
        <w:t>15.4</w:t>
      </w:r>
      <w:r>
        <w:rPr>
          <w:rFonts w:ascii="Times New Roman" w:hAnsi="Times New Roman"/>
          <w:kern w:val="0"/>
          <w:szCs w:val="24"/>
        </w:rPr>
        <w:t>磋商保证金应在响应有效期内有效</w:t>
      </w:r>
      <w:r>
        <w:rPr>
          <w:rFonts w:ascii="Times New Roman" w:hAnsi="Times New Roman"/>
          <w:kern w:val="24"/>
          <w:szCs w:val="24"/>
        </w:rPr>
        <w:t>。</w:t>
      </w:r>
    </w:p>
    <w:p>
      <w:pPr>
        <w:tabs>
          <w:tab w:val="left" w:pos="588"/>
        </w:tabs>
        <w:ind w:firstLine="480" w:firstLineChars="200"/>
        <w:rPr>
          <w:rFonts w:ascii="Times New Roman" w:hAnsi="Times New Roman"/>
          <w:kern w:val="0"/>
          <w:szCs w:val="24"/>
        </w:rPr>
      </w:pPr>
      <w:r>
        <w:rPr>
          <w:rFonts w:ascii="Times New Roman" w:hAnsi="Times New Roman"/>
          <w:kern w:val="0"/>
          <w:szCs w:val="24"/>
        </w:rPr>
        <w:t>15.5凡没有根据本须知第15.1、15.3、15.4条的规定随附磋商保证金的，将被视为非实质性响应予以拒绝。</w:t>
      </w:r>
    </w:p>
    <w:p>
      <w:pPr>
        <w:tabs>
          <w:tab w:val="left" w:pos="588"/>
        </w:tabs>
        <w:ind w:firstLine="480" w:firstLineChars="200"/>
        <w:rPr>
          <w:rFonts w:ascii="Times New Roman" w:hAnsi="Times New Roman"/>
          <w:kern w:val="0"/>
          <w:szCs w:val="24"/>
        </w:rPr>
      </w:pPr>
      <w:r>
        <w:rPr>
          <w:rFonts w:ascii="Times New Roman" w:hAnsi="Times New Roman"/>
          <w:kern w:val="0"/>
          <w:szCs w:val="24"/>
        </w:rPr>
        <w:t>15.6发生以下情况之一的，磋商保证金将不予退还：</w:t>
      </w:r>
    </w:p>
    <w:p>
      <w:pPr>
        <w:numPr>
          <w:ilvl w:val="0"/>
          <w:numId w:val="7"/>
        </w:numPr>
        <w:adjustRightInd w:val="0"/>
        <w:ind w:firstLine="200"/>
        <w:textAlignment w:val="baseline"/>
        <w:rPr>
          <w:rFonts w:ascii="Times New Roman" w:hAnsi="Times New Roman"/>
          <w:kern w:val="0"/>
          <w:szCs w:val="24"/>
        </w:rPr>
      </w:pPr>
      <w:r>
        <w:rPr>
          <w:rFonts w:ascii="Times New Roman" w:hAnsi="Times New Roman"/>
          <w:kern w:val="0"/>
          <w:szCs w:val="24"/>
        </w:rPr>
        <w:t>（1）供应商在竞争性磋商文件中规定的响应有效期内撤销其磋商；</w:t>
      </w:r>
    </w:p>
    <w:p>
      <w:pPr>
        <w:numPr>
          <w:ilvl w:val="0"/>
          <w:numId w:val="7"/>
        </w:numPr>
        <w:adjustRightInd w:val="0"/>
        <w:ind w:firstLine="200"/>
        <w:textAlignment w:val="baseline"/>
        <w:rPr>
          <w:rFonts w:ascii="Times New Roman" w:hAnsi="Times New Roman"/>
          <w:kern w:val="0"/>
          <w:szCs w:val="24"/>
        </w:rPr>
      </w:pPr>
      <w:r>
        <w:rPr>
          <w:rFonts w:ascii="Times New Roman" w:hAnsi="Times New Roman"/>
          <w:kern w:val="0"/>
          <w:szCs w:val="24"/>
        </w:rPr>
        <w:t>（2）成交供应商在规定期限内应提交履约保证金而未提交；</w:t>
      </w:r>
    </w:p>
    <w:p>
      <w:pPr>
        <w:numPr>
          <w:ilvl w:val="0"/>
          <w:numId w:val="7"/>
        </w:numPr>
        <w:adjustRightInd w:val="0"/>
        <w:ind w:firstLine="200"/>
        <w:textAlignment w:val="baseline"/>
        <w:rPr>
          <w:rFonts w:ascii="Times New Roman" w:hAnsi="Times New Roman"/>
          <w:kern w:val="0"/>
          <w:szCs w:val="24"/>
        </w:rPr>
      </w:pPr>
      <w:r>
        <w:rPr>
          <w:rFonts w:ascii="Times New Roman" w:hAnsi="Times New Roman"/>
          <w:kern w:val="0"/>
          <w:szCs w:val="24"/>
        </w:rPr>
        <w:t>（3）成交供应商在规定期限内未能按本须知第37条规定签订合同；</w:t>
      </w:r>
    </w:p>
    <w:p>
      <w:pPr>
        <w:numPr>
          <w:ilvl w:val="0"/>
          <w:numId w:val="7"/>
        </w:numPr>
        <w:adjustRightInd w:val="0"/>
        <w:ind w:firstLine="200"/>
        <w:textAlignment w:val="baseline"/>
        <w:rPr>
          <w:rFonts w:ascii="Times New Roman" w:hAnsi="Times New Roman"/>
          <w:kern w:val="0"/>
          <w:szCs w:val="24"/>
        </w:rPr>
      </w:pPr>
      <w:r>
        <w:rPr>
          <w:rFonts w:ascii="Times New Roman" w:hAnsi="Times New Roman"/>
          <w:kern w:val="0"/>
          <w:szCs w:val="24"/>
        </w:rPr>
        <w:t>（4）供应商或成交供应商有腐败、欺诈、串通投标等违反法律法规的行为的；</w:t>
      </w:r>
    </w:p>
    <w:p>
      <w:pPr>
        <w:numPr>
          <w:ilvl w:val="0"/>
          <w:numId w:val="7"/>
        </w:numPr>
        <w:adjustRightInd w:val="0"/>
        <w:ind w:firstLine="200"/>
        <w:textAlignment w:val="baseline"/>
        <w:rPr>
          <w:rFonts w:ascii="Times New Roman" w:hAnsi="Times New Roman"/>
          <w:kern w:val="0"/>
          <w:szCs w:val="24"/>
        </w:rPr>
      </w:pPr>
      <w:r>
        <w:rPr>
          <w:rFonts w:ascii="Times New Roman" w:hAnsi="Times New Roman"/>
          <w:kern w:val="0"/>
          <w:szCs w:val="24"/>
        </w:rPr>
        <w:t>（5）供应商或成交供应商有其他违反本竞争性磋商文件要求、损害采购人利益行为的。</w:t>
      </w:r>
    </w:p>
    <w:p>
      <w:pPr>
        <w:numPr>
          <w:ilvl w:val="0"/>
          <w:numId w:val="7"/>
        </w:numPr>
        <w:adjustRightInd w:val="0"/>
        <w:ind w:firstLine="200"/>
        <w:textAlignment w:val="baseline"/>
        <w:rPr>
          <w:rFonts w:ascii="Times New Roman" w:hAnsi="Times New Roman"/>
          <w:kern w:val="0"/>
          <w:szCs w:val="24"/>
        </w:rPr>
      </w:pPr>
      <w:r>
        <w:rPr>
          <w:rFonts w:ascii="Times New Roman" w:hAnsi="Times New Roman"/>
          <w:kern w:val="0"/>
          <w:szCs w:val="24"/>
        </w:rPr>
        <w:t>若供应商或成交供应商的上述行为所造成的采购人的损失大于磋商保证金金额的，采购人不予退还保证金的同时，有权要求供应商或成交供应商就保证金未能涵盖部分的损失承担赔偿责任。</w:t>
      </w:r>
    </w:p>
    <w:p>
      <w:pPr>
        <w:adjustRightInd w:val="0"/>
        <w:ind w:firstLine="200"/>
        <w:textAlignment w:val="baseline"/>
        <w:rPr>
          <w:rFonts w:ascii="Times New Roman" w:hAnsi="Times New Roman"/>
          <w:kern w:val="0"/>
          <w:szCs w:val="24"/>
        </w:rPr>
      </w:pPr>
      <w:r>
        <w:rPr>
          <w:rFonts w:ascii="Times New Roman" w:hAnsi="Times New Roman"/>
          <w:kern w:val="0"/>
          <w:szCs w:val="24"/>
        </w:rPr>
        <w:t xml:space="preserve">   15.7 供应商</w:t>
      </w:r>
      <w:r>
        <w:rPr>
          <w:rFonts w:ascii="Times New Roman" w:hAnsi="Times New Roman"/>
          <w:szCs w:val="24"/>
        </w:rPr>
        <w:t>提交的磋商保证金，以现金方式提交的，落标的</w:t>
      </w:r>
      <w:r>
        <w:rPr>
          <w:rFonts w:ascii="Times New Roman" w:hAnsi="Times New Roman"/>
          <w:kern w:val="0"/>
          <w:szCs w:val="24"/>
        </w:rPr>
        <w:t>供应商现场退还，中标供应商的保证金交至采购人财务部门，并将交款凭证复印件交采购人招标办备案；以其他方式递交的，</w:t>
      </w:r>
      <w:r>
        <w:rPr>
          <w:rFonts w:ascii="Times New Roman" w:hAnsi="Times New Roman"/>
          <w:szCs w:val="24"/>
        </w:rPr>
        <w:t>中标供应商的投标保证金转为履约保证金，落标人的投标保证金在中标通知书发出后5个工作日内以转账形式予以退回。</w:t>
      </w:r>
    </w:p>
    <w:p>
      <w:pPr>
        <w:spacing w:before="60" w:after="60"/>
        <w:rPr>
          <w:rFonts w:ascii="Times New Roman" w:hAnsi="Times New Roman"/>
          <w:b/>
        </w:rPr>
      </w:pPr>
      <w:bookmarkStart w:id="39" w:name="_Toc389620184"/>
      <w:bookmarkStart w:id="40" w:name="_Toc70687159"/>
      <w:bookmarkStart w:id="41" w:name="_Toc184043032"/>
      <w:bookmarkStart w:id="42" w:name="_Toc385992345"/>
      <w:r>
        <w:rPr>
          <w:rFonts w:ascii="Times New Roman" w:hAnsi="Times New Roman"/>
          <w:b/>
        </w:rPr>
        <w:t>16. 响应有效期</w:t>
      </w:r>
      <w:bookmarkEnd w:id="39"/>
      <w:bookmarkEnd w:id="40"/>
      <w:bookmarkEnd w:id="41"/>
      <w:bookmarkEnd w:id="42"/>
    </w:p>
    <w:p>
      <w:pPr>
        <w:adjustRightInd w:val="0"/>
        <w:ind w:firstLine="424" w:firstLineChars="177"/>
        <w:textAlignment w:val="baseline"/>
        <w:rPr>
          <w:rFonts w:ascii="Times New Roman" w:hAnsi="Times New Roman"/>
          <w:szCs w:val="24"/>
        </w:rPr>
      </w:pPr>
      <w:r>
        <w:rPr>
          <w:rFonts w:ascii="Times New Roman" w:hAnsi="Times New Roman"/>
          <w:szCs w:val="24"/>
        </w:rPr>
        <w:t>16.1响应有效期见本须知前附表。在响应有效期内，所有响应文件均保持有效。 响应文件的有效期比本须知规定的有效期短的，将被视为非实质性响应，采购人有权拒绝。</w:t>
      </w:r>
    </w:p>
    <w:p>
      <w:pPr>
        <w:tabs>
          <w:tab w:val="left" w:pos="0"/>
        </w:tabs>
        <w:ind w:firstLine="424" w:firstLineChars="177"/>
        <w:rPr>
          <w:rFonts w:ascii="Times New Roman" w:hAnsi="Times New Roman"/>
          <w:kern w:val="0"/>
          <w:szCs w:val="24"/>
        </w:rPr>
      </w:pPr>
      <w:r>
        <w:rPr>
          <w:rFonts w:ascii="Times New Roman" w:hAnsi="Times New Roman"/>
          <w:kern w:val="0"/>
          <w:szCs w:val="24"/>
        </w:rPr>
        <w:t>16.2特殊情况下，采购人可于原响应有效期满之前要求供应商同意延长有效期，要求与答复均应为书面形式。供应商可以拒绝上述要求，其磋商保证金可以退还。对于同意该要求的供应商，既不要求也不允许其修改响应文件，但将要求其相应延长磋商保证金的有效期，有关退还和不予退还磋商保证金的规定在响应有效期的延长期内继续有效。</w:t>
      </w:r>
    </w:p>
    <w:p>
      <w:pPr>
        <w:spacing w:before="60" w:after="60"/>
        <w:rPr>
          <w:rFonts w:ascii="Times New Roman" w:hAnsi="Times New Roman"/>
          <w:b/>
        </w:rPr>
      </w:pPr>
      <w:bookmarkStart w:id="43" w:name="_Toc385992346"/>
      <w:bookmarkStart w:id="44" w:name="_Toc389620185"/>
      <w:bookmarkStart w:id="45" w:name="_Toc70687160"/>
      <w:bookmarkStart w:id="46" w:name="_Toc184043033"/>
      <w:r>
        <w:rPr>
          <w:rFonts w:ascii="Times New Roman" w:hAnsi="Times New Roman"/>
          <w:b/>
        </w:rPr>
        <w:t>17．响应文件的制作和签署</w:t>
      </w:r>
      <w:bookmarkEnd w:id="43"/>
      <w:bookmarkEnd w:id="44"/>
      <w:bookmarkEnd w:id="45"/>
      <w:bookmarkEnd w:id="46"/>
    </w:p>
    <w:p>
      <w:pPr>
        <w:tabs>
          <w:tab w:val="left" w:pos="0"/>
        </w:tabs>
        <w:ind w:firstLine="480" w:firstLineChars="200"/>
        <w:rPr>
          <w:rFonts w:ascii="Times New Roman" w:hAnsi="Times New Roman"/>
          <w:kern w:val="0"/>
          <w:szCs w:val="24"/>
        </w:rPr>
      </w:pPr>
      <w:r>
        <w:rPr>
          <w:rFonts w:ascii="Times New Roman" w:hAnsi="Times New Roman"/>
          <w:kern w:val="0"/>
          <w:szCs w:val="24"/>
        </w:rPr>
        <w:t>17.1供应商应准备一份响应文件正本和“供应商须知前附表”中规定数目的副本，每套响应文件须清楚地标明“正本”“副本”。若正本和副本不符，以正本为准。</w:t>
      </w:r>
    </w:p>
    <w:p>
      <w:pPr>
        <w:tabs>
          <w:tab w:val="left" w:pos="0"/>
        </w:tabs>
        <w:ind w:firstLine="480" w:firstLineChars="200"/>
        <w:rPr>
          <w:rFonts w:ascii="Times New Roman" w:hAnsi="Times New Roman"/>
          <w:b/>
          <w:kern w:val="0"/>
          <w:szCs w:val="24"/>
        </w:rPr>
      </w:pPr>
      <w:r>
        <w:rPr>
          <w:rFonts w:ascii="Times New Roman" w:hAnsi="Times New Roman"/>
          <w:kern w:val="0"/>
          <w:szCs w:val="24"/>
        </w:rPr>
        <w:t>17.2</w:t>
      </w:r>
      <w:r>
        <w:rPr>
          <w:rFonts w:ascii="Times New Roman" w:hAnsi="Times New Roman"/>
          <w:b/>
          <w:kern w:val="0"/>
          <w:szCs w:val="24"/>
        </w:rPr>
        <w:t>响应文件须用中文编写，并须有序地装订成册，不得采用活页方式装订，装订须牢固不易拆散和换页（胶装），响应文件中不得留有空白页（如隔页纸）</w:t>
      </w:r>
      <w:r>
        <w:rPr>
          <w:rFonts w:ascii="Times New Roman" w:hAnsi="Times New Roman"/>
          <w:kern w:val="0"/>
          <w:szCs w:val="24"/>
        </w:rPr>
        <w:t>。</w:t>
      </w:r>
    </w:p>
    <w:p>
      <w:pPr>
        <w:tabs>
          <w:tab w:val="left" w:pos="588"/>
        </w:tabs>
        <w:ind w:firstLine="480" w:firstLineChars="200"/>
        <w:rPr>
          <w:rFonts w:ascii="Times New Roman" w:hAnsi="Times New Roman"/>
          <w:kern w:val="0"/>
          <w:szCs w:val="24"/>
        </w:rPr>
      </w:pPr>
      <w:r>
        <w:rPr>
          <w:rFonts w:ascii="Times New Roman" w:hAnsi="Times New Roman"/>
          <w:kern w:val="0"/>
          <w:szCs w:val="24"/>
        </w:rPr>
        <w:t>17.3响应文件的正本，一律用不褪色的墨水书写或打印，加盖供应商单位公章，并由供应商的法定代表人或其授权的代理人签署。响应文件的副本可采用正本的复印件。</w:t>
      </w:r>
    </w:p>
    <w:p>
      <w:pPr>
        <w:tabs>
          <w:tab w:val="left" w:pos="588"/>
        </w:tabs>
        <w:ind w:firstLine="480" w:firstLineChars="200"/>
        <w:rPr>
          <w:rFonts w:ascii="Times New Roman" w:hAnsi="Times New Roman"/>
          <w:kern w:val="0"/>
          <w:szCs w:val="24"/>
        </w:rPr>
      </w:pPr>
      <w:r>
        <w:rPr>
          <w:rFonts w:ascii="Times New Roman" w:hAnsi="Times New Roman"/>
          <w:kern w:val="0"/>
          <w:szCs w:val="24"/>
        </w:rPr>
        <w:t>17.4任何行间插字、涂改或增删，必须由响应文件签字人姓或首字母在旁边签字才有效。</w:t>
      </w:r>
    </w:p>
    <w:p>
      <w:pPr>
        <w:tabs>
          <w:tab w:val="left" w:pos="588"/>
        </w:tabs>
        <w:ind w:firstLine="480" w:firstLineChars="200"/>
        <w:rPr>
          <w:rFonts w:ascii="Times New Roman" w:hAnsi="Times New Roman"/>
          <w:kern w:val="0"/>
          <w:szCs w:val="24"/>
        </w:rPr>
      </w:pPr>
      <w:r>
        <w:rPr>
          <w:rFonts w:ascii="Times New Roman" w:hAnsi="Times New Roman"/>
          <w:kern w:val="0"/>
          <w:szCs w:val="24"/>
        </w:rPr>
        <w:t>17.5采购人拒绝接受以电报、电话、传真、电子邮件形式递交的响应。</w:t>
      </w:r>
    </w:p>
    <w:p>
      <w:pPr>
        <w:tabs>
          <w:tab w:val="left" w:pos="588"/>
        </w:tabs>
        <w:ind w:firstLine="480" w:firstLineChars="200"/>
        <w:rPr>
          <w:rFonts w:ascii="Times New Roman" w:hAnsi="Times New Roman"/>
          <w:kern w:val="0"/>
          <w:szCs w:val="24"/>
        </w:rPr>
      </w:pPr>
      <w:r>
        <w:rPr>
          <w:rFonts w:ascii="Times New Roman" w:hAnsi="Times New Roman"/>
          <w:kern w:val="0"/>
          <w:szCs w:val="24"/>
        </w:rPr>
        <w:t>17.6供应商在磋商过程中相关文件的签订、履行、通知等事项的书面文件中的单位盖章、印章、公章等处均仅指与供应商名称全称相一致的标准公章，不得使用其他形式（如带有“专用章”等字样）的印章。</w:t>
      </w:r>
      <w:bookmarkStart w:id="47" w:name="_Hlt491765640"/>
      <w:bookmarkEnd w:id="47"/>
    </w:p>
    <w:p>
      <w:pPr>
        <w:pStyle w:val="4"/>
        <w:spacing w:before="120" w:beforeLines="50" w:after="120" w:afterLines="50"/>
        <w:rPr>
          <w:rFonts w:ascii="Times New Roman" w:hAnsi="Times New Roman"/>
        </w:rPr>
      </w:pPr>
      <w:bookmarkStart w:id="48" w:name="_Toc436256504"/>
      <w:r>
        <w:rPr>
          <w:rFonts w:ascii="Times New Roman" w:hAnsi="Times New Roman"/>
        </w:rPr>
        <w:t>（四）响应文件的提交</w:t>
      </w:r>
      <w:bookmarkEnd w:id="38"/>
      <w:bookmarkEnd w:id="48"/>
    </w:p>
    <w:p>
      <w:pPr>
        <w:spacing w:before="60" w:after="60"/>
        <w:rPr>
          <w:rFonts w:ascii="Times New Roman" w:hAnsi="Times New Roman"/>
          <w:b/>
        </w:rPr>
      </w:pPr>
      <w:bookmarkStart w:id="49" w:name="_Toc67626299"/>
      <w:r>
        <w:rPr>
          <w:rFonts w:ascii="Times New Roman" w:hAnsi="Times New Roman"/>
          <w:b/>
        </w:rPr>
        <w:t>18．响应文件的密封和标记</w:t>
      </w:r>
    </w:p>
    <w:p>
      <w:pPr>
        <w:ind w:firstLine="480" w:firstLineChars="200"/>
        <w:rPr>
          <w:rFonts w:ascii="Times New Roman" w:hAnsi="Times New Roman"/>
        </w:rPr>
      </w:pPr>
      <w:r>
        <w:rPr>
          <w:rFonts w:ascii="Times New Roman" w:hAnsi="Times New Roman"/>
        </w:rPr>
        <w:t>18.1响应函一份、报价一览表一份、一份正本、二份副本，装入同一密封袋中；密封袋外层密封条须加盖供应商公章及法定代表人章。</w:t>
      </w:r>
    </w:p>
    <w:p>
      <w:pPr>
        <w:ind w:firstLine="480" w:firstLineChars="200"/>
        <w:rPr>
          <w:rFonts w:ascii="Times New Roman" w:hAnsi="Times New Roman"/>
        </w:rPr>
      </w:pPr>
      <w:r>
        <w:rPr>
          <w:rFonts w:ascii="Times New Roman" w:hAnsi="Times New Roman"/>
        </w:rPr>
        <w:t>18.2响应文件在密封好的外包封上应写明的标识：</w:t>
      </w:r>
    </w:p>
    <w:p>
      <w:pPr>
        <w:ind w:firstLine="480" w:firstLineChars="200"/>
        <w:rPr>
          <w:rFonts w:ascii="Times New Roman" w:hAnsi="Times New Roman"/>
        </w:rPr>
      </w:pPr>
      <w:r>
        <w:rPr>
          <w:rFonts w:ascii="Times New Roman" w:hAnsi="Times New Roman"/>
        </w:rPr>
        <w:t>(1)外层密封的识别标志：</w:t>
      </w:r>
    </w:p>
    <w:p>
      <w:pPr>
        <w:ind w:firstLine="480" w:firstLineChars="200"/>
        <w:rPr>
          <w:rFonts w:ascii="Times New Roman" w:hAnsi="Times New Roman"/>
        </w:rPr>
      </w:pPr>
      <w:r>
        <w:rPr>
          <w:rFonts w:ascii="Times New Roman" w:hAnsi="Times New Roman"/>
        </w:rPr>
        <w:t>a.采购编号；</w:t>
      </w:r>
    </w:p>
    <w:p>
      <w:pPr>
        <w:ind w:firstLine="480" w:firstLineChars="200"/>
        <w:rPr>
          <w:rFonts w:ascii="Times New Roman" w:hAnsi="Times New Roman"/>
        </w:rPr>
      </w:pPr>
      <w:r>
        <w:rPr>
          <w:rFonts w:ascii="Times New Roman" w:hAnsi="Times New Roman"/>
        </w:rPr>
        <w:t>b. 项目名称；</w:t>
      </w:r>
    </w:p>
    <w:p>
      <w:pPr>
        <w:ind w:firstLine="480" w:firstLineChars="200"/>
        <w:rPr>
          <w:rFonts w:ascii="Times New Roman" w:hAnsi="Times New Roman"/>
        </w:rPr>
      </w:pPr>
      <w:r>
        <w:rPr>
          <w:rFonts w:ascii="Times New Roman" w:hAnsi="Times New Roman"/>
        </w:rPr>
        <w:t>c. 采购人名称；</w:t>
      </w:r>
    </w:p>
    <w:p>
      <w:pPr>
        <w:ind w:firstLine="480" w:firstLineChars="200"/>
        <w:rPr>
          <w:rFonts w:ascii="Times New Roman" w:hAnsi="Times New Roman"/>
        </w:rPr>
      </w:pPr>
      <w:r>
        <w:rPr>
          <w:rFonts w:ascii="Times New Roman" w:hAnsi="Times New Roman"/>
        </w:rPr>
        <w:t>d. 供应商地址、联系方式；</w:t>
      </w:r>
    </w:p>
    <w:p>
      <w:pPr>
        <w:ind w:firstLine="480" w:firstLineChars="200"/>
        <w:rPr>
          <w:rFonts w:ascii="Times New Roman" w:hAnsi="Times New Roman"/>
        </w:rPr>
      </w:pPr>
      <w:r>
        <w:rPr>
          <w:rFonts w:ascii="Times New Roman" w:hAnsi="Times New Roman"/>
        </w:rPr>
        <w:t>e.      年    月    日    时    分前不得启封；</w:t>
      </w:r>
    </w:p>
    <w:p>
      <w:pPr>
        <w:ind w:firstLine="480" w:firstLineChars="200"/>
        <w:rPr>
          <w:rFonts w:ascii="Times New Roman" w:hAnsi="Times New Roman"/>
        </w:rPr>
      </w:pPr>
      <w:r>
        <w:rPr>
          <w:rFonts w:ascii="Times New Roman" w:hAnsi="Times New Roman"/>
        </w:rPr>
        <w:t>18.3如果响应文件没有按本供应商须知及前附表相应项规定加写标记和密封，采购人将拒收或废标或者告知供应商采购人将不承担响应文件错放或提前开封的责任。对由此造成的提前开封的响应文件将予以拒绝，并退还给供应商；</w:t>
      </w:r>
    </w:p>
    <w:p>
      <w:pPr>
        <w:ind w:firstLine="480" w:firstLineChars="200"/>
        <w:rPr>
          <w:rFonts w:ascii="Times New Roman" w:hAnsi="Times New Roman"/>
        </w:rPr>
      </w:pPr>
      <w:r>
        <w:rPr>
          <w:rFonts w:ascii="Times New Roman" w:hAnsi="Times New Roman"/>
        </w:rPr>
        <w:t>18.4所有响应文件的密封袋的封口处应加盖供应商印章（公章和法定代表人章）。</w:t>
      </w:r>
    </w:p>
    <w:p>
      <w:pPr>
        <w:ind w:firstLine="480" w:firstLineChars="200"/>
        <w:rPr>
          <w:rFonts w:ascii="Times New Roman" w:hAnsi="Times New Roman"/>
        </w:rPr>
      </w:pPr>
      <w:r>
        <w:rPr>
          <w:rFonts w:ascii="Times New Roman" w:hAnsi="Times New Roman"/>
        </w:rPr>
        <w:t>18.5如果响应文件没有按规定密封，响应文件将被拒收。</w:t>
      </w:r>
    </w:p>
    <w:bookmarkEnd w:id="49"/>
    <w:p>
      <w:pPr>
        <w:spacing w:before="60" w:after="60"/>
        <w:rPr>
          <w:rFonts w:ascii="Times New Roman" w:hAnsi="Times New Roman"/>
          <w:b/>
        </w:rPr>
      </w:pPr>
      <w:r>
        <w:rPr>
          <w:rFonts w:ascii="Times New Roman" w:hAnsi="Times New Roman"/>
          <w:b/>
        </w:rPr>
        <w:t>19．响应文件的提交</w:t>
      </w:r>
    </w:p>
    <w:p>
      <w:pPr>
        <w:ind w:firstLine="480" w:firstLineChars="200"/>
        <w:rPr>
          <w:rFonts w:ascii="Times New Roman" w:hAnsi="Times New Roman"/>
        </w:rPr>
      </w:pPr>
      <w:r>
        <w:rPr>
          <w:rFonts w:ascii="Times New Roman" w:hAnsi="Times New Roman"/>
        </w:rPr>
        <w:t>19.1 响应文件的递交地点：见供应商须知前附表。</w:t>
      </w:r>
    </w:p>
    <w:p>
      <w:pPr>
        <w:ind w:firstLine="480" w:firstLineChars="200"/>
        <w:rPr>
          <w:rFonts w:ascii="Times New Roman" w:hAnsi="Times New Roman"/>
        </w:rPr>
      </w:pPr>
      <w:r>
        <w:rPr>
          <w:rFonts w:ascii="Times New Roman" w:hAnsi="Times New Roman"/>
        </w:rPr>
        <w:t>19.2响应文件提交的截止时间</w:t>
      </w:r>
      <w:bookmarkEnd w:id="16"/>
      <w:r>
        <w:rPr>
          <w:rFonts w:ascii="Times New Roman" w:hAnsi="Times New Roman"/>
        </w:rPr>
        <w:t>：见供应商须知前附表。</w:t>
      </w:r>
    </w:p>
    <w:p>
      <w:pPr>
        <w:ind w:firstLine="480" w:firstLineChars="200"/>
        <w:rPr>
          <w:rFonts w:ascii="Times New Roman" w:hAnsi="Times New Roman"/>
        </w:rPr>
      </w:pPr>
      <w:r>
        <w:rPr>
          <w:rFonts w:ascii="Times New Roman" w:hAnsi="Times New Roman"/>
        </w:rPr>
        <w:t>19.2.1采购人可按本须知相应项规定以修改补充通知的方式，酌情延长提交响应文件的截止时间。在此情况下，供应商的所有权利和义务以及供应商受制约的截止时间，均以延长后新的响应文件递交的截止时间为准。</w:t>
      </w:r>
    </w:p>
    <w:p>
      <w:pPr>
        <w:spacing w:before="60" w:after="60"/>
        <w:rPr>
          <w:rFonts w:ascii="Times New Roman" w:hAnsi="Times New Roman"/>
          <w:b/>
        </w:rPr>
      </w:pPr>
      <w:bookmarkStart w:id="50" w:name="_Toc67626301"/>
      <w:r>
        <w:rPr>
          <w:rFonts w:ascii="Times New Roman" w:hAnsi="Times New Roman"/>
          <w:b/>
        </w:rPr>
        <w:t>20．迟交的</w:t>
      </w:r>
      <w:bookmarkEnd w:id="50"/>
      <w:r>
        <w:rPr>
          <w:rFonts w:ascii="Times New Roman" w:hAnsi="Times New Roman"/>
          <w:b/>
        </w:rPr>
        <w:t>响应文件</w:t>
      </w:r>
    </w:p>
    <w:p>
      <w:pPr>
        <w:ind w:firstLine="480" w:firstLineChars="200"/>
        <w:rPr>
          <w:rFonts w:ascii="Times New Roman" w:hAnsi="Times New Roman"/>
        </w:rPr>
      </w:pPr>
      <w:r>
        <w:rPr>
          <w:rFonts w:ascii="Times New Roman" w:hAnsi="Times New Roman"/>
        </w:rPr>
        <w:t>20.1 采购人在本须知相应项规定的响应文件递交的截止时间以后收到的响应文件，将被拒绝并退回给供应商。</w:t>
      </w:r>
    </w:p>
    <w:p>
      <w:pPr>
        <w:spacing w:before="60" w:after="60"/>
        <w:rPr>
          <w:rFonts w:ascii="Times New Roman" w:hAnsi="Times New Roman"/>
          <w:b/>
        </w:rPr>
      </w:pPr>
      <w:bookmarkStart w:id="51" w:name="_Toc67626302"/>
      <w:r>
        <w:rPr>
          <w:rFonts w:ascii="Times New Roman" w:hAnsi="Times New Roman"/>
          <w:b/>
        </w:rPr>
        <w:t>21．响应文件的补充、修改与撤回</w:t>
      </w:r>
      <w:bookmarkEnd w:id="51"/>
    </w:p>
    <w:p>
      <w:pPr>
        <w:ind w:firstLine="480" w:firstLineChars="200"/>
        <w:rPr>
          <w:rFonts w:ascii="Times New Roman" w:hAnsi="Times New Roman"/>
        </w:rPr>
      </w:pPr>
      <w:r>
        <w:rPr>
          <w:rFonts w:ascii="Times New Roman" w:hAnsi="Times New Roman"/>
        </w:rPr>
        <w:t>21.1 供应商在提交响应文件以后，在规定的响应文件递交的截止时间之前，可以书面形式补充修改或撤回已提交的响应文件，并以书面形式通知采购人。补充、修改的内容为响应文件的组成部分。</w:t>
      </w:r>
    </w:p>
    <w:p>
      <w:pPr>
        <w:ind w:firstLine="480" w:firstLineChars="200"/>
        <w:rPr>
          <w:rFonts w:ascii="Times New Roman" w:hAnsi="Times New Roman"/>
        </w:rPr>
      </w:pPr>
      <w:r>
        <w:rPr>
          <w:rFonts w:ascii="Times New Roman" w:hAnsi="Times New Roman"/>
        </w:rPr>
        <w:t>21.2 供应商对响应文件的补充、修改，应按本须知相应项有关规定密封、标记和提交，并在响应文件密封袋上清楚标明“补充、修改”或“撤回”字样。</w:t>
      </w:r>
    </w:p>
    <w:p>
      <w:pPr>
        <w:ind w:firstLine="480" w:firstLineChars="200"/>
        <w:rPr>
          <w:rFonts w:ascii="Times New Roman" w:hAnsi="Times New Roman"/>
        </w:rPr>
      </w:pPr>
      <w:r>
        <w:rPr>
          <w:rFonts w:ascii="Times New Roman" w:hAnsi="Times New Roman"/>
        </w:rPr>
        <w:t>21.3在响应文件递交的截止时间之后，供应商不得补充、修改响应文件。</w:t>
      </w:r>
    </w:p>
    <w:p>
      <w:pPr>
        <w:ind w:firstLine="480" w:firstLineChars="200"/>
        <w:rPr>
          <w:rFonts w:ascii="Times New Roman" w:hAnsi="Times New Roman"/>
        </w:rPr>
      </w:pPr>
      <w:r>
        <w:rPr>
          <w:rFonts w:ascii="Times New Roman" w:hAnsi="Times New Roman"/>
        </w:rPr>
        <w:t>21.4 在响应文件递交的截止时间至响应有效期满之前，供应商不得撤回其响应文件，否则其响应保证金将被没收。</w:t>
      </w:r>
    </w:p>
    <w:p>
      <w:pPr>
        <w:pStyle w:val="4"/>
        <w:spacing w:before="120" w:beforeLines="50" w:after="120" w:afterLines="50"/>
        <w:rPr>
          <w:rFonts w:ascii="Times New Roman" w:hAnsi="Times New Roman"/>
        </w:rPr>
      </w:pPr>
      <w:bookmarkStart w:id="52" w:name="_Toc232176277"/>
      <w:bookmarkStart w:id="53" w:name="_Toc214357452"/>
      <w:bookmarkStart w:id="54" w:name="_Toc232395217"/>
      <w:bookmarkStart w:id="55" w:name="_Toc265738865"/>
      <w:bookmarkStart w:id="56" w:name="_Toc239740356"/>
      <w:bookmarkStart w:id="57" w:name="_Toc235518471"/>
      <w:bookmarkStart w:id="58" w:name="_Toc177189240"/>
      <w:bookmarkStart w:id="59" w:name="_Toc70687166"/>
      <w:bookmarkStart w:id="60" w:name="_Toc492955420"/>
      <w:bookmarkStart w:id="61" w:name="_Toc53722845"/>
      <w:bookmarkStart w:id="62" w:name="_Toc176882547"/>
      <w:bookmarkStart w:id="63" w:name="_Toc500747194"/>
      <w:bookmarkStart w:id="64" w:name="_Toc389620191"/>
      <w:bookmarkStart w:id="65" w:name="_Toc177817339"/>
      <w:bookmarkStart w:id="66" w:name="_Toc177995478"/>
      <w:bookmarkStart w:id="67" w:name="_Toc500747067"/>
      <w:bookmarkStart w:id="68" w:name="_Toc499711048"/>
      <w:bookmarkStart w:id="69" w:name="_Toc385992352"/>
      <w:bookmarkStart w:id="70" w:name="_Toc503063427"/>
      <w:bookmarkStart w:id="71" w:name="_Toc496324584"/>
      <w:bookmarkStart w:id="72" w:name="_Toc499711889"/>
      <w:bookmarkStart w:id="73" w:name="_Toc500746971"/>
      <w:bookmarkStart w:id="74" w:name="_Toc184043039"/>
      <w:bookmarkStart w:id="75" w:name="_Toc436256505"/>
      <w:bookmarkStart w:id="76" w:name="_Toc67626304"/>
      <w:r>
        <w:rPr>
          <w:rFonts w:ascii="Times New Roman" w:hAnsi="Times New Roman"/>
        </w:rPr>
        <w:t>（五</w:t>
      </w:r>
      <w:bookmarkEnd w:id="52"/>
      <w:bookmarkEnd w:id="53"/>
      <w:bookmarkEnd w:id="54"/>
      <w:bookmarkEnd w:id="55"/>
      <w:bookmarkEnd w:id="56"/>
      <w:bookmarkEnd w:id="57"/>
      <w:r>
        <w:rPr>
          <w:rFonts w:ascii="Times New Roman" w:hAnsi="Times New Roman"/>
        </w:rPr>
        <w:t>）评审与磋商</w:t>
      </w:r>
    </w:p>
    <w:p>
      <w:pPr>
        <w:spacing w:before="60" w:after="60"/>
        <w:rPr>
          <w:rFonts w:ascii="Times New Roman" w:hAnsi="Times New Roman"/>
          <w:b/>
        </w:rPr>
      </w:pPr>
      <w:r>
        <w:rPr>
          <w:rFonts w:ascii="Times New Roman" w:hAnsi="Times New Roman"/>
          <w:b/>
        </w:rPr>
        <w:t>22.磋商开启</w:t>
      </w:r>
    </w:p>
    <w:p>
      <w:pPr>
        <w:ind w:firstLine="480" w:firstLineChars="200"/>
        <w:rPr>
          <w:rFonts w:ascii="Times New Roman" w:hAnsi="Times New Roman"/>
          <w:szCs w:val="24"/>
        </w:rPr>
      </w:pPr>
      <w:r>
        <w:rPr>
          <w:rFonts w:ascii="Times New Roman" w:hAnsi="Times New Roman"/>
          <w:szCs w:val="24"/>
        </w:rPr>
        <w:t>22.1采购单位</w:t>
      </w:r>
      <w:r>
        <w:rPr>
          <w:rFonts w:ascii="Times New Roman" w:hAnsi="Times New Roman"/>
        </w:rPr>
        <w:t>应当按采购邀请的规定，在响应文件递交截止时间的同一时间和预先确定的地点组织磋商活动，并邀请所有供应商代表参加。供应商代表应签名报到以证明其出席。</w:t>
      </w:r>
    </w:p>
    <w:p>
      <w:pPr>
        <w:spacing w:before="60" w:after="60"/>
        <w:rPr>
          <w:rFonts w:ascii="Times New Roman" w:hAnsi="Times New Roman"/>
          <w:b/>
        </w:rPr>
      </w:pPr>
      <w:bookmarkStart w:id="77" w:name="_Toc83547667"/>
      <w:r>
        <w:rPr>
          <w:rFonts w:ascii="Times New Roman" w:hAnsi="Times New Roman"/>
          <w:b/>
        </w:rPr>
        <w:t>23. 磋商小组</w:t>
      </w:r>
    </w:p>
    <w:p>
      <w:pPr>
        <w:ind w:firstLine="480" w:firstLineChars="200"/>
        <w:rPr>
          <w:rFonts w:ascii="Times New Roman" w:hAnsi="Times New Roman"/>
          <w:szCs w:val="24"/>
        </w:rPr>
      </w:pPr>
      <w:r>
        <w:rPr>
          <w:rFonts w:ascii="Times New Roman" w:hAnsi="Times New Roman"/>
          <w:szCs w:val="24"/>
        </w:rPr>
        <w:t>23.1采购人根据有关法律法规，结合本项目特点组建磋商小组。磋商小组由采购人代表和评审专家共三人以上单数组成，其中评审专家的人数不少于磋商小组成员总数的三分之二。</w:t>
      </w:r>
    </w:p>
    <w:p>
      <w:pPr>
        <w:spacing w:before="60" w:after="60"/>
        <w:rPr>
          <w:rFonts w:ascii="Times New Roman" w:hAnsi="Times New Roman"/>
          <w:b/>
        </w:rPr>
      </w:pPr>
      <w:r>
        <w:rPr>
          <w:rFonts w:ascii="Times New Roman" w:hAnsi="Times New Roman"/>
          <w:b/>
        </w:rPr>
        <w:t>24. 响应文件的初审</w:t>
      </w:r>
      <w:bookmarkEnd w:id="77"/>
      <w:r>
        <w:rPr>
          <w:rFonts w:ascii="Times New Roman" w:hAnsi="Times New Roman"/>
          <w:b/>
        </w:rPr>
        <w:t>与澄清</w:t>
      </w:r>
    </w:p>
    <w:p>
      <w:pPr>
        <w:ind w:firstLine="480" w:firstLineChars="200"/>
        <w:rPr>
          <w:rFonts w:ascii="Times New Roman" w:hAnsi="Times New Roman"/>
          <w:szCs w:val="24"/>
        </w:rPr>
      </w:pPr>
      <w:bookmarkStart w:id="78" w:name="_Toc83547671"/>
      <w:r>
        <w:rPr>
          <w:rFonts w:ascii="Times New Roman" w:hAnsi="Times New Roman"/>
          <w:szCs w:val="24"/>
        </w:rPr>
        <w:t>24.1响应文件的初审分为资格性检查和符合性检查。</w:t>
      </w:r>
    </w:p>
    <w:p>
      <w:pPr>
        <w:ind w:firstLine="480" w:firstLineChars="200"/>
        <w:rPr>
          <w:rFonts w:ascii="Times New Roman" w:hAnsi="Times New Roman"/>
          <w:szCs w:val="24"/>
        </w:rPr>
      </w:pPr>
      <w:r>
        <w:rPr>
          <w:rFonts w:ascii="Times New Roman" w:hAnsi="Times New Roman"/>
          <w:szCs w:val="24"/>
        </w:rPr>
        <w:t>24.1.1资格性检查：磋商小组依据竞争性磋商文件，对响应文件中的资格证明文件、磋商保证金等进行审查，以确定供应商是否具备磋商资格。</w:t>
      </w:r>
    </w:p>
    <w:p>
      <w:pPr>
        <w:ind w:firstLine="480" w:firstLineChars="200"/>
        <w:rPr>
          <w:rFonts w:ascii="Times New Roman" w:hAnsi="Times New Roman"/>
          <w:szCs w:val="24"/>
        </w:rPr>
      </w:pPr>
      <w:r>
        <w:rPr>
          <w:rFonts w:ascii="Times New Roman" w:hAnsi="Times New Roman"/>
          <w:szCs w:val="24"/>
        </w:rPr>
        <w:t>24.1.2符合性检查：磋商小组依据竞争性磋商文件，对响应文件的有效性、完整性和对竞争性磋商文件的响应程度进行审查，以确定供应商是否对竞争性磋商文件的实质性要求做出响应。</w:t>
      </w:r>
    </w:p>
    <w:p>
      <w:pPr>
        <w:ind w:firstLine="480" w:firstLineChars="200"/>
        <w:rPr>
          <w:rFonts w:ascii="Times New Roman" w:hAnsi="Times New Roman"/>
          <w:szCs w:val="24"/>
        </w:rPr>
      </w:pPr>
      <w:r>
        <w:rPr>
          <w:rFonts w:ascii="Times New Roman" w:hAnsi="Times New Roman"/>
          <w:szCs w:val="24"/>
        </w:rPr>
        <w:t>24.2响应文件的澄清</w:t>
      </w:r>
    </w:p>
    <w:p>
      <w:pPr>
        <w:ind w:firstLine="480" w:firstLineChars="200"/>
        <w:rPr>
          <w:rFonts w:ascii="Times New Roman" w:hAnsi="Times New Roman"/>
          <w:szCs w:val="24"/>
        </w:rPr>
      </w:pPr>
      <w:r>
        <w:rPr>
          <w:rFonts w:ascii="Times New Roman" w:hAnsi="Times New Roman"/>
          <w:szCs w:val="24"/>
        </w:rPr>
        <w:t>24.2.1在评审期间，磋商小组有权以书面方式要求供应商对其响应文件中含义不明确、对同类问题表述不一致或者有明显文字和计算错误的内容作必要的澄清。供应商澄清应在磋商小组规定的时间内以书面方式进行，并不得超出响应文件范围或者改变响应文件的实质性内容。</w:t>
      </w:r>
    </w:p>
    <w:p>
      <w:pPr>
        <w:ind w:firstLine="480" w:firstLineChars="200"/>
        <w:rPr>
          <w:rFonts w:ascii="Times New Roman" w:hAnsi="Times New Roman"/>
          <w:szCs w:val="24"/>
        </w:rPr>
      </w:pPr>
      <w:r>
        <w:rPr>
          <w:rFonts w:ascii="Times New Roman" w:hAnsi="Times New Roman"/>
          <w:szCs w:val="24"/>
        </w:rPr>
        <w:t>24.2.2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pPr>
        <w:ind w:firstLine="480" w:firstLineChars="200"/>
        <w:rPr>
          <w:rFonts w:ascii="Times New Roman" w:hAnsi="Times New Roman"/>
          <w:szCs w:val="24"/>
        </w:rPr>
      </w:pPr>
      <w:r>
        <w:rPr>
          <w:rFonts w:ascii="Times New Roman" w:hAnsi="Times New Roman"/>
          <w:szCs w:val="24"/>
        </w:rPr>
        <w:t>24.2.3澄清文件将作为响应文件内容的一部分。</w:t>
      </w:r>
    </w:p>
    <w:p>
      <w:pPr>
        <w:ind w:firstLine="480" w:firstLineChars="200"/>
        <w:rPr>
          <w:rFonts w:ascii="Times New Roman" w:hAnsi="Times New Roman"/>
          <w:szCs w:val="24"/>
        </w:rPr>
      </w:pPr>
      <w:r>
        <w:rPr>
          <w:rFonts w:ascii="Times New Roman" w:hAnsi="Times New Roman"/>
          <w:szCs w:val="24"/>
        </w:rPr>
        <w:t>24.2.4算术错误将按以下方法更正：响应文件中“响应报价一览表”（报价表）内容与响应文件中明细表内容不一致的，以“响应报价一览表”（报价表）为准；若单价计算的结果与总价不一致，以单价为准修改总价，但单价金额小数点有明显错位的，应以总价为准并修改单价；若用文字（大写）表示的数值与数字（小写表示的数值不一致，以文字表示的数值为准。对不同文字文本响应文件的解释发生异议的，以中文文本为准。如果供应商不接受对其错误的更改，其响应将被拒绝。</w:t>
      </w:r>
    </w:p>
    <w:p>
      <w:pPr>
        <w:spacing w:before="60" w:after="60"/>
        <w:rPr>
          <w:rFonts w:ascii="Times New Roman" w:hAnsi="Times New Roman"/>
          <w:b/>
        </w:rPr>
      </w:pPr>
      <w:r>
        <w:rPr>
          <w:rFonts w:ascii="Times New Roman" w:hAnsi="Times New Roman"/>
          <w:b/>
        </w:rPr>
        <w:t>25. 响应偏离与非实质性响应</w:t>
      </w:r>
    </w:p>
    <w:p>
      <w:pPr>
        <w:ind w:firstLine="480" w:firstLineChars="200"/>
        <w:rPr>
          <w:rFonts w:ascii="Times New Roman" w:hAnsi="Times New Roman"/>
          <w:szCs w:val="24"/>
        </w:rPr>
      </w:pPr>
      <w:r>
        <w:rPr>
          <w:rFonts w:ascii="Times New Roman" w:hAnsi="Times New Roman"/>
          <w:szCs w:val="24"/>
        </w:rPr>
        <w:t>25.1对于响应文件中不构成实质性偏离的不正规、不一致或不规则，磋商小组可以接受，但这种接受不能损害或影响任何供应商的相对排序。</w:t>
      </w:r>
    </w:p>
    <w:p>
      <w:pPr>
        <w:ind w:firstLine="480" w:firstLineChars="200"/>
        <w:rPr>
          <w:rFonts w:ascii="Times New Roman" w:hAnsi="Times New Roman"/>
          <w:szCs w:val="24"/>
        </w:rPr>
      </w:pPr>
      <w:r>
        <w:rPr>
          <w:rFonts w:ascii="Times New Roman" w:hAnsi="Times New Roman"/>
          <w:szCs w:val="24"/>
        </w:rPr>
        <w:t>25.2在磋商之前，根据本须知的规定，磋商小组要审查每份响应文件是否实质上响应了竞争性磋商文件的要求。实质上响应是指与竞争性磋商文件要求的全部条款、条件和规格相符，没有重大偏离的响应。对关键条款，例如关于磋商保证金、适用法律、缴税等内容的偏离、保留和反对，将被认为是实质上的偏离。</w:t>
      </w:r>
    </w:p>
    <w:p>
      <w:pPr>
        <w:ind w:firstLine="482" w:firstLineChars="200"/>
        <w:rPr>
          <w:rFonts w:ascii="Times New Roman" w:hAnsi="Times New Roman"/>
          <w:b/>
        </w:rPr>
      </w:pPr>
      <w:r>
        <w:rPr>
          <w:rFonts w:ascii="Times New Roman" w:hAnsi="Times New Roman"/>
          <w:b/>
        </w:rPr>
        <w:t xml:space="preserve">25.3没有实质上响应竞争性磋商文件要求的响应文件及报价将被拒绝。供应商不得通过修正或撤销不符合要求的偏离从而使其响应文件及报价成为实质上响应的响应文件及报价。如发现下列情况之一的，其响应文件将被拒绝： </w:t>
      </w:r>
    </w:p>
    <w:p>
      <w:pPr>
        <w:ind w:firstLine="482" w:firstLineChars="200"/>
        <w:rPr>
          <w:rFonts w:ascii="Times New Roman" w:hAnsi="Times New Roman"/>
          <w:b/>
        </w:rPr>
      </w:pPr>
      <w:r>
        <w:rPr>
          <w:rFonts w:ascii="Times New Roman" w:hAnsi="Times New Roman"/>
          <w:b/>
        </w:rPr>
        <w:t>（1）响应报价超出竞争性磋商文件规定的采购预算的；</w:t>
      </w:r>
    </w:p>
    <w:p>
      <w:pPr>
        <w:ind w:firstLine="482" w:firstLineChars="200"/>
        <w:rPr>
          <w:rFonts w:ascii="Times New Roman" w:hAnsi="Times New Roman"/>
          <w:b/>
        </w:rPr>
      </w:pPr>
      <w:r>
        <w:rPr>
          <w:rFonts w:ascii="Times New Roman" w:hAnsi="Times New Roman"/>
          <w:b/>
        </w:rPr>
        <w:t>（2）响应文件采用活页方式装订的（少量A3图纸除外）；</w:t>
      </w:r>
    </w:p>
    <w:p>
      <w:pPr>
        <w:ind w:firstLine="482" w:firstLineChars="200"/>
        <w:rPr>
          <w:rFonts w:ascii="Times New Roman" w:hAnsi="Times New Roman"/>
          <w:b/>
        </w:rPr>
      </w:pPr>
      <w:r>
        <w:rPr>
          <w:rFonts w:ascii="Times New Roman" w:hAnsi="Times New Roman"/>
          <w:b/>
        </w:rPr>
        <w:t xml:space="preserve">（3）磋商保证金不满足竞争性磋商文件要求的； </w:t>
      </w:r>
    </w:p>
    <w:p>
      <w:pPr>
        <w:ind w:firstLine="482" w:firstLineChars="200"/>
        <w:rPr>
          <w:rFonts w:ascii="Times New Roman" w:hAnsi="Times New Roman"/>
          <w:b/>
        </w:rPr>
      </w:pPr>
      <w:r>
        <w:rPr>
          <w:rFonts w:ascii="Times New Roman" w:hAnsi="Times New Roman"/>
          <w:b/>
        </w:rPr>
        <w:t>（4）未按照竞争性磋商文件规定进行签署、盖章的；</w:t>
      </w:r>
    </w:p>
    <w:p>
      <w:pPr>
        <w:ind w:firstLine="482" w:firstLineChars="200"/>
        <w:rPr>
          <w:rFonts w:ascii="Times New Roman" w:hAnsi="Times New Roman"/>
          <w:b/>
        </w:rPr>
      </w:pPr>
      <w:r>
        <w:rPr>
          <w:rFonts w:ascii="Times New Roman" w:hAnsi="Times New Roman"/>
          <w:b/>
        </w:rPr>
        <w:t>（5）供应商资格条件不满足竞争性磋商文件要求 （或未提供有效证明文件） 的；</w:t>
      </w:r>
    </w:p>
    <w:p>
      <w:pPr>
        <w:ind w:firstLine="482" w:firstLineChars="200"/>
        <w:rPr>
          <w:rFonts w:ascii="Times New Roman" w:hAnsi="Times New Roman"/>
          <w:b/>
        </w:rPr>
      </w:pPr>
      <w:r>
        <w:rPr>
          <w:rFonts w:ascii="Times New Roman" w:hAnsi="Times New Roman"/>
          <w:b/>
        </w:rPr>
        <w:t>（6）响应有效期不足的；</w:t>
      </w:r>
    </w:p>
    <w:p>
      <w:pPr>
        <w:ind w:firstLine="482" w:firstLineChars="200"/>
        <w:rPr>
          <w:rFonts w:ascii="Times New Roman" w:hAnsi="Times New Roman"/>
          <w:b/>
        </w:rPr>
      </w:pPr>
      <w:r>
        <w:rPr>
          <w:rFonts w:ascii="Times New Roman" w:hAnsi="Times New Roman"/>
          <w:b/>
        </w:rPr>
        <w:t>（7）响应文件的技术响应与事实不符或提供虚假或失实资料的；</w:t>
      </w:r>
    </w:p>
    <w:p>
      <w:pPr>
        <w:ind w:firstLine="482" w:firstLineChars="200"/>
        <w:rPr>
          <w:rFonts w:ascii="Times New Roman" w:hAnsi="Times New Roman"/>
          <w:b/>
        </w:rPr>
      </w:pPr>
      <w:r>
        <w:rPr>
          <w:rFonts w:ascii="Times New Roman" w:hAnsi="Times New Roman"/>
          <w:b/>
        </w:rPr>
        <w:t>（8）不满足竞争性磋商文件</w:t>
      </w:r>
      <w:r>
        <w:rPr>
          <w:rFonts w:hint="eastAsia" w:cs="宋体"/>
          <w:b/>
        </w:rPr>
        <w:t>★</w:t>
      </w:r>
      <w:r>
        <w:rPr>
          <w:rFonts w:ascii="Times New Roman" w:hAnsi="Times New Roman"/>
          <w:b/>
        </w:rPr>
        <w:t>号条款的；</w:t>
      </w:r>
    </w:p>
    <w:p>
      <w:pPr>
        <w:ind w:firstLine="482" w:firstLineChars="200"/>
        <w:rPr>
          <w:rFonts w:ascii="Times New Roman" w:hAnsi="Times New Roman"/>
          <w:b/>
        </w:rPr>
      </w:pPr>
      <w:r>
        <w:rPr>
          <w:rFonts w:ascii="Times New Roman" w:hAnsi="Times New Roman"/>
          <w:b/>
        </w:rPr>
        <w:t>（9）报价等于零的或报价低于成本价且为恶性竞争的；</w:t>
      </w:r>
    </w:p>
    <w:p>
      <w:pPr>
        <w:ind w:firstLine="482" w:firstLineChars="200"/>
        <w:rPr>
          <w:rFonts w:ascii="Times New Roman" w:hAnsi="Times New Roman"/>
          <w:b/>
        </w:rPr>
      </w:pPr>
      <w:r>
        <w:rPr>
          <w:rFonts w:ascii="Times New Roman" w:hAnsi="Times New Roman"/>
          <w:b/>
        </w:rPr>
        <w:t>（10）供应商在一份响应文件中对同一服务报有两个或两个以上报价的；</w:t>
      </w:r>
    </w:p>
    <w:p>
      <w:pPr>
        <w:ind w:firstLine="482" w:firstLineChars="200"/>
        <w:rPr>
          <w:rFonts w:ascii="Times New Roman" w:hAnsi="Times New Roman"/>
          <w:b/>
        </w:rPr>
      </w:pPr>
      <w:r>
        <w:rPr>
          <w:rFonts w:ascii="Times New Roman" w:hAnsi="Times New Roman"/>
          <w:b/>
        </w:rPr>
        <w:t>（11）不符合法律、法规和竞争性磋商文件中规定的其他实质性要求，以及其他磋商小组认为不能实质上满足竞争性磋商文件要求的。</w:t>
      </w:r>
    </w:p>
    <w:p>
      <w:pPr>
        <w:spacing w:before="60" w:after="60"/>
        <w:rPr>
          <w:rFonts w:ascii="Times New Roman" w:hAnsi="Times New Roman"/>
          <w:b/>
        </w:rPr>
      </w:pPr>
      <w:r>
        <w:rPr>
          <w:rFonts w:ascii="Times New Roman" w:hAnsi="Times New Roman"/>
          <w:b/>
        </w:rPr>
        <w:t>26. 磋商</w:t>
      </w:r>
    </w:p>
    <w:p>
      <w:pPr>
        <w:ind w:firstLine="480" w:firstLineChars="200"/>
        <w:rPr>
          <w:rFonts w:ascii="Times New Roman" w:hAnsi="Times New Roman"/>
        </w:rPr>
      </w:pPr>
      <w:r>
        <w:rPr>
          <w:rFonts w:ascii="Times New Roman" w:hAnsi="Times New Roman"/>
        </w:rPr>
        <w:t>26.1磋商小组所有成员集中与通过初审的单个供应商分别进行磋商，并给予所有通过初审的供应商平等的磋商机会。</w:t>
      </w:r>
    </w:p>
    <w:p>
      <w:pPr>
        <w:ind w:firstLine="480" w:firstLineChars="200"/>
        <w:rPr>
          <w:rFonts w:ascii="Times New Roman" w:hAnsi="Times New Roman"/>
        </w:rPr>
      </w:pPr>
      <w:r>
        <w:rPr>
          <w:rFonts w:ascii="Times New Roman" w:hAnsi="Times New Roman"/>
        </w:rPr>
        <w:t>26.2在磋商中，任何一方不得透露与磋商有关的其他供应商的技术资料、价格和其他信息。</w:t>
      </w:r>
    </w:p>
    <w:p>
      <w:pPr>
        <w:ind w:firstLine="480" w:firstLineChars="200"/>
        <w:rPr>
          <w:rFonts w:ascii="Times New Roman" w:hAnsi="Times New Roman"/>
        </w:rPr>
      </w:pPr>
      <w:r>
        <w:rPr>
          <w:rFonts w:ascii="Times New Roman" w:hAnsi="Times New Roman"/>
        </w:rPr>
        <w:t>26.3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将及时以书面形式同时通知所有参加磋商的供应商。磋商小组将要求各供应商对实质性变动的内容进行签字确认。</w:t>
      </w:r>
    </w:p>
    <w:p>
      <w:pPr>
        <w:ind w:firstLine="480" w:firstLineChars="200"/>
        <w:rPr>
          <w:rFonts w:ascii="Times New Roman" w:hAnsi="Times New Roman"/>
        </w:rPr>
      </w:pPr>
      <w:r>
        <w:rPr>
          <w:rFonts w:ascii="Times New Roman" w:hAnsi="Times New Roman"/>
        </w:rPr>
        <w:t>26.4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pPr>
        <w:ind w:firstLine="480" w:firstLineChars="200"/>
        <w:rPr>
          <w:rFonts w:ascii="Times New Roman" w:hAnsi="Times New Roman"/>
        </w:rPr>
      </w:pPr>
      <w:r>
        <w:rPr>
          <w:rFonts w:ascii="Times New Roman" w:hAnsi="Times New Roman"/>
        </w:rPr>
        <w:t>26.5磋商小组根据项目情况可进行一轮或多轮磋商。采购人将对磋商进行记录，磋商记录须由供应商的法定代表人或本项目的授权代表签字确认。经签字确认后的磋商记录将作为成交后采购人与供应商签署合同的依据，具有法律效力。</w:t>
      </w:r>
    </w:p>
    <w:p>
      <w:pPr>
        <w:ind w:firstLine="480" w:firstLineChars="200"/>
        <w:rPr>
          <w:rFonts w:ascii="Times New Roman" w:hAnsi="Times New Roman"/>
        </w:rPr>
      </w:pPr>
      <w:r>
        <w:rPr>
          <w:rFonts w:ascii="Times New Roman" w:hAnsi="Times New Roman"/>
        </w:rPr>
        <w:t>26.6磋商结束后，磋商小组应当要求所有实质性响应的供应商在规定时间内提交最后报价，最后报价是供应商响应文件的有效组成部分。</w:t>
      </w:r>
    </w:p>
    <w:p>
      <w:pPr>
        <w:ind w:firstLine="480" w:firstLineChars="200"/>
        <w:rPr>
          <w:rFonts w:ascii="Times New Roman" w:hAnsi="Times New Roman"/>
        </w:rPr>
      </w:pPr>
      <w:r>
        <w:rPr>
          <w:rFonts w:ascii="Times New Roman" w:hAnsi="Times New Roman"/>
        </w:rPr>
        <w:t>26.7已提交响应文件的供应商，在提交最后报价之前，可以根据磋商情况退出磋商。采购人应当退还磋商供应商的磋商保证金。</w:t>
      </w:r>
    </w:p>
    <w:p>
      <w:pPr>
        <w:ind w:firstLine="480" w:firstLineChars="200"/>
        <w:rPr>
          <w:rFonts w:ascii="Times New Roman" w:hAnsi="Times New Roman"/>
        </w:rPr>
      </w:pPr>
      <w:r>
        <w:rPr>
          <w:rFonts w:ascii="Times New Roman" w:hAnsi="Times New Roman"/>
        </w:rPr>
        <w:t>26.8如出现下述情形之一的，视为供应商自动放弃本项目成交资格，其响应将被拒绝：</w:t>
      </w:r>
    </w:p>
    <w:p>
      <w:pPr>
        <w:ind w:firstLine="480" w:firstLineChars="200"/>
        <w:rPr>
          <w:rFonts w:ascii="Times New Roman" w:hAnsi="Times New Roman"/>
        </w:rPr>
      </w:pPr>
      <w:r>
        <w:rPr>
          <w:rFonts w:ascii="Times New Roman" w:hAnsi="Times New Roman"/>
        </w:rPr>
        <w:t>1)供应商未按要求确认磋商小组确定的对磋商文件实质性变动的；</w:t>
      </w:r>
    </w:p>
    <w:p>
      <w:pPr>
        <w:ind w:firstLine="480" w:firstLineChars="200"/>
        <w:rPr>
          <w:rFonts w:ascii="Times New Roman" w:hAnsi="Times New Roman"/>
        </w:rPr>
      </w:pPr>
      <w:r>
        <w:rPr>
          <w:rFonts w:ascii="Times New Roman" w:hAnsi="Times New Roman"/>
        </w:rPr>
        <w:t>2)最后报价未实质性响应磋商小组确定的对磋商文件实质性变动的，或附有采购方无法接受的条件的；</w:t>
      </w:r>
    </w:p>
    <w:p>
      <w:pPr>
        <w:ind w:firstLine="480" w:firstLineChars="200"/>
        <w:rPr>
          <w:rFonts w:ascii="Times New Roman" w:hAnsi="Times New Roman"/>
        </w:rPr>
      </w:pPr>
      <w:r>
        <w:rPr>
          <w:rFonts w:ascii="Times New Roman" w:hAnsi="Times New Roman"/>
        </w:rPr>
        <w:t>3)最后报价超出采购预算的。</w:t>
      </w:r>
    </w:p>
    <w:p>
      <w:pPr>
        <w:spacing w:before="60" w:after="60"/>
        <w:rPr>
          <w:rFonts w:ascii="Times New Roman" w:hAnsi="Times New Roman"/>
          <w:b/>
        </w:rPr>
      </w:pPr>
      <w:bookmarkStart w:id="79" w:name="_Toc164229238"/>
      <w:bookmarkStart w:id="80" w:name="_Toc164229384"/>
      <w:bookmarkStart w:id="81" w:name="_Toc164608657"/>
      <w:bookmarkStart w:id="82" w:name="_Toc164608812"/>
      <w:bookmarkStart w:id="83" w:name="_Toc151193931"/>
      <w:bookmarkStart w:id="84" w:name="_Toc151193857"/>
      <w:bookmarkStart w:id="85" w:name="_Toc151193785"/>
      <w:bookmarkStart w:id="86" w:name="_Toc151193713"/>
      <w:bookmarkStart w:id="87" w:name="_Toc151193641"/>
      <w:bookmarkStart w:id="88" w:name="_Toc151190170"/>
      <w:bookmarkStart w:id="89" w:name="_Toc127151543"/>
      <w:bookmarkStart w:id="90" w:name="_Toc164351637"/>
      <w:bookmarkStart w:id="91" w:name="_Toc150509294"/>
      <w:bookmarkStart w:id="92" w:name="_Toc150774748"/>
      <w:bookmarkStart w:id="93" w:name="_Toc150480781"/>
      <w:bookmarkStart w:id="94" w:name="_Toc150774643"/>
      <w:bookmarkStart w:id="95" w:name="_Toc142311045"/>
      <w:bookmarkStart w:id="96" w:name="_Toc127151744"/>
      <w:bookmarkStart w:id="97" w:name="_Toc149720836"/>
      <w:bookmarkStart w:id="98" w:name="_Toc127161457"/>
      <w:bookmarkStart w:id="99" w:name="_Toc195842908"/>
      <w:r>
        <w:rPr>
          <w:rFonts w:ascii="Times New Roman" w:hAnsi="Times New Roman"/>
          <w:b/>
        </w:rPr>
        <w:t>27.</w:t>
      </w:r>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r>
        <w:rPr>
          <w:rFonts w:ascii="Times New Roman" w:hAnsi="Times New Roman"/>
          <w:b/>
        </w:rPr>
        <w:t>详细评审</w:t>
      </w:r>
    </w:p>
    <w:p>
      <w:pPr>
        <w:ind w:firstLine="480" w:firstLineChars="200"/>
        <w:rPr>
          <w:rFonts w:ascii="Times New Roman" w:hAnsi="Times New Roman"/>
        </w:rPr>
      </w:pPr>
      <w:r>
        <w:rPr>
          <w:rFonts w:ascii="Times New Roman" w:hAnsi="Times New Roman"/>
        </w:rPr>
        <w:t>27.1经磋商确定最终采购需求和提交最后报价的供应商后，由磋商小组采用综合评分法对提交最后报价的供应商的响应文件和最后报价进行综合评分。</w:t>
      </w:r>
    </w:p>
    <w:p>
      <w:pPr>
        <w:ind w:firstLine="480" w:firstLineChars="200"/>
        <w:rPr>
          <w:rFonts w:ascii="Times New Roman" w:hAnsi="Times New Roman"/>
        </w:rPr>
      </w:pPr>
      <w:r>
        <w:rPr>
          <w:rFonts w:ascii="Times New Roman" w:hAnsi="Times New Roman"/>
        </w:rPr>
        <w:t>27.2综合评分法，是指响应文件满足磋商文件全部实质性要求且按评审因素的量化指标评审得分最高的供应商为成交候选供应商的评审方法。</w:t>
      </w:r>
    </w:p>
    <w:p>
      <w:pPr>
        <w:ind w:firstLine="480" w:firstLineChars="200"/>
        <w:rPr>
          <w:rFonts w:ascii="Times New Roman" w:hAnsi="Times New Roman"/>
        </w:rPr>
      </w:pPr>
      <w:r>
        <w:rPr>
          <w:rFonts w:ascii="Times New Roman" w:hAnsi="Times New Roman"/>
        </w:rPr>
        <w:t>27.3综合评分法评分的主要考虑供应商在最后报价、商务部分、技术及服务部分以及响应的比重或者权值等。评审时，磋商小组各成员应当独立对每个有效供应商的响应文件进行评价、打分，然后汇总每个供应商每项评分因素的得分。评审办法详见竞争性磋商文件第三章。</w:t>
      </w:r>
    </w:p>
    <w:p>
      <w:pPr>
        <w:spacing w:before="60" w:after="60"/>
        <w:rPr>
          <w:rFonts w:ascii="Times New Roman" w:hAnsi="Times New Roman"/>
          <w:b/>
        </w:rPr>
      </w:pPr>
      <w:bookmarkStart w:id="100" w:name="_Toc164229385"/>
      <w:bookmarkStart w:id="101" w:name="_Toc151193642"/>
      <w:bookmarkStart w:id="102" w:name="_Toc142311046"/>
      <w:bookmarkStart w:id="103" w:name="_Toc150480782"/>
      <w:bookmarkStart w:id="104" w:name="_Toc150774644"/>
      <w:bookmarkStart w:id="105" w:name="_Toc151193932"/>
      <w:bookmarkStart w:id="106" w:name="_Toc164608658"/>
      <w:bookmarkStart w:id="107" w:name="_Toc150774749"/>
      <w:bookmarkStart w:id="108" w:name="_Toc127151745"/>
      <w:bookmarkStart w:id="109" w:name="_Toc151193786"/>
      <w:bookmarkStart w:id="110" w:name="_Toc127161458"/>
      <w:bookmarkStart w:id="111" w:name="_Toc151193714"/>
      <w:bookmarkStart w:id="112" w:name="_Toc151193858"/>
      <w:bookmarkStart w:id="113" w:name="_Toc195842909"/>
      <w:bookmarkStart w:id="114" w:name="_Toc149720837"/>
      <w:bookmarkStart w:id="115" w:name="_Toc127151544"/>
      <w:bookmarkStart w:id="116" w:name="_Toc164351638"/>
      <w:bookmarkStart w:id="117" w:name="_Toc164229239"/>
      <w:bookmarkStart w:id="118" w:name="_Toc150509295"/>
      <w:bookmarkStart w:id="119" w:name="_Toc164608813"/>
      <w:bookmarkStart w:id="120" w:name="_Toc151190171"/>
      <w:r>
        <w:rPr>
          <w:rFonts w:ascii="Times New Roman" w:hAnsi="Times New Roman"/>
          <w:b/>
        </w:rPr>
        <w:t>28. 评审过程及保密原则</w:t>
      </w:r>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p>
    <w:p>
      <w:pPr>
        <w:ind w:firstLine="480" w:firstLineChars="200"/>
        <w:rPr>
          <w:rFonts w:ascii="Times New Roman" w:hAnsi="Times New Roman"/>
        </w:rPr>
      </w:pPr>
      <w:r>
        <w:rPr>
          <w:rFonts w:ascii="Times New Roman" w:hAnsi="Times New Roman"/>
        </w:rPr>
        <w:t>28.1递交响应文件之后，直到授予成交供应商合同止，凡与本次采购有关人员对属于评审、澄清、磋商的有关资料以及成交意向等，均不得向供应商或其他无关人员透露。</w:t>
      </w:r>
    </w:p>
    <w:p>
      <w:pPr>
        <w:ind w:firstLine="480" w:firstLineChars="200"/>
        <w:rPr>
          <w:rFonts w:ascii="Times New Roman" w:hAnsi="Times New Roman"/>
        </w:rPr>
      </w:pPr>
      <w:r>
        <w:rPr>
          <w:rFonts w:ascii="Times New Roman" w:hAnsi="Times New Roman"/>
        </w:rPr>
        <w:t>28.2在评审期间，供应商试图影响采购单位和磋商小组的任何违规活动，其响应视为无效，并承担相应的法律责任。</w:t>
      </w:r>
    </w:p>
    <w:p>
      <w:pPr>
        <w:spacing w:before="60" w:after="60"/>
        <w:rPr>
          <w:rFonts w:ascii="Times New Roman" w:hAnsi="Times New Roman"/>
          <w:b/>
        </w:rPr>
      </w:pPr>
      <w:bookmarkStart w:id="121" w:name="_Toc151193934"/>
      <w:bookmarkStart w:id="122" w:name="_Ref467307010"/>
      <w:bookmarkStart w:id="123" w:name="_Toc151193788"/>
      <w:bookmarkStart w:id="124" w:name="_Toc127151546"/>
      <w:bookmarkStart w:id="125" w:name="_Toc164229241"/>
      <w:bookmarkStart w:id="126" w:name="_Toc164351640"/>
      <w:bookmarkStart w:id="127" w:name="_Toc151193860"/>
      <w:bookmarkStart w:id="128" w:name="_Toc195842911"/>
      <w:bookmarkStart w:id="129" w:name="_Toc164608660"/>
      <w:bookmarkStart w:id="130" w:name="_Toc164608815"/>
      <w:bookmarkStart w:id="131" w:name="_Toc151193644"/>
      <w:bookmarkStart w:id="132" w:name="_Toc150774646"/>
      <w:bookmarkStart w:id="133" w:name="_Toc127151747"/>
      <w:bookmarkStart w:id="134" w:name="_Toc151193716"/>
      <w:bookmarkStart w:id="135" w:name="_Toc127161460"/>
      <w:bookmarkStart w:id="136" w:name="_Toc142311048"/>
      <w:bookmarkStart w:id="137" w:name="_Toc520356170"/>
      <w:bookmarkStart w:id="138" w:name="_Toc150509297"/>
      <w:bookmarkStart w:id="139" w:name="_Toc149720839"/>
      <w:bookmarkStart w:id="140" w:name="_Toc150480784"/>
      <w:bookmarkStart w:id="141" w:name="_Toc164229387"/>
      <w:bookmarkStart w:id="142" w:name="_Toc150774751"/>
      <w:bookmarkStart w:id="143" w:name="_Toc151190173"/>
      <w:r>
        <w:rPr>
          <w:rFonts w:ascii="Times New Roman" w:hAnsi="Times New Roman"/>
          <w:b/>
        </w:rPr>
        <w:t>29. 成交供应商候选人的推荐</w:t>
      </w:r>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r>
        <w:rPr>
          <w:rFonts w:ascii="Times New Roman" w:hAnsi="Times New Roman"/>
          <w:b/>
        </w:rPr>
        <w:t>原则</w:t>
      </w:r>
    </w:p>
    <w:bookmarkEnd w:id="78"/>
    <w:p>
      <w:pPr>
        <w:ind w:firstLine="480" w:firstLineChars="200"/>
        <w:rPr>
          <w:rFonts w:ascii="Times New Roman" w:hAnsi="Times New Roman"/>
        </w:rPr>
      </w:pPr>
      <w:r>
        <w:rPr>
          <w:rFonts w:ascii="Times New Roman" w:hAnsi="Times New Roman"/>
        </w:rPr>
        <w:t>29.1磋商小组将根据综合评分情况，对实质上响应竞争性磋商文件的供应商按综合评审得分由高到低的顺序进行排序。评审得分相同的，按照最后报价由低到高顺序排列，评审得分且最后报价相同的，按技术指标优劣顺序排列。</w:t>
      </w:r>
    </w:p>
    <w:p>
      <w:pPr>
        <w:ind w:firstLine="480" w:firstLineChars="200"/>
        <w:rPr>
          <w:rFonts w:ascii="Times New Roman" w:hAnsi="Times New Roman"/>
        </w:rPr>
      </w:pPr>
      <w:r>
        <w:rPr>
          <w:rFonts w:ascii="Times New Roman" w:hAnsi="Times New Roman"/>
        </w:rPr>
        <w:t>29.2磋商小组根据上述原则，推荐排序第一名的供应商为成交候选人。</w:t>
      </w:r>
    </w:p>
    <w:p>
      <w:pPr>
        <w:spacing w:before="60" w:after="60"/>
        <w:rPr>
          <w:rFonts w:ascii="Times New Roman" w:hAnsi="Times New Roman"/>
          <w:b/>
        </w:rPr>
      </w:pPr>
      <w:r>
        <w:rPr>
          <w:rFonts w:ascii="Times New Roman" w:hAnsi="Times New Roman"/>
          <w:b/>
        </w:rPr>
        <w:t>30. 废标</w:t>
      </w:r>
    </w:p>
    <w:p>
      <w:pPr>
        <w:ind w:firstLine="482" w:firstLineChars="200"/>
        <w:rPr>
          <w:rFonts w:ascii="Times New Roman" w:hAnsi="Times New Roman"/>
          <w:b/>
        </w:rPr>
      </w:pPr>
      <w:r>
        <w:rPr>
          <w:rFonts w:ascii="Times New Roman" w:hAnsi="Times New Roman"/>
          <w:b/>
        </w:rPr>
        <w:t>30.1 出现下列情况之一时，采购人根据磋商小组的意见有权宣布废标，并将理由通知所有供应商：</w:t>
      </w:r>
    </w:p>
    <w:p>
      <w:pPr>
        <w:ind w:firstLine="482" w:firstLineChars="200"/>
        <w:rPr>
          <w:rFonts w:ascii="Times New Roman" w:hAnsi="Times New Roman"/>
          <w:b/>
        </w:rPr>
      </w:pPr>
      <w:r>
        <w:rPr>
          <w:rFonts w:ascii="Times New Roman" w:hAnsi="Times New Roman"/>
          <w:b/>
        </w:rPr>
        <w:t>（1）在采购过程中符合要求的供应商或者报价未超过采购预算的供应商不足3家的；(财库〔2015〕124号《财政部关于政府采购竞争性磋商采购方式管理暂行办法有关问题的补充通知》中规定的情形除外)</w:t>
      </w:r>
    </w:p>
    <w:p>
      <w:pPr>
        <w:ind w:firstLine="482" w:firstLineChars="200"/>
        <w:rPr>
          <w:rFonts w:ascii="Times New Roman" w:hAnsi="Times New Roman"/>
          <w:b/>
        </w:rPr>
      </w:pPr>
      <w:r>
        <w:rPr>
          <w:rFonts w:ascii="Times New Roman" w:hAnsi="Times New Roman"/>
          <w:b/>
        </w:rPr>
        <w:t>（2）提交最后报价的供应商少于3家的；</w:t>
      </w:r>
    </w:p>
    <w:p>
      <w:pPr>
        <w:ind w:firstLine="482" w:firstLineChars="200"/>
        <w:rPr>
          <w:rFonts w:ascii="Times New Roman" w:hAnsi="Times New Roman"/>
          <w:b/>
        </w:rPr>
      </w:pPr>
      <w:r>
        <w:rPr>
          <w:rFonts w:ascii="Times New Roman" w:hAnsi="Times New Roman"/>
          <w:b/>
        </w:rPr>
        <w:t>（3）出现影响采购公正的违法、违规行为的；</w:t>
      </w:r>
    </w:p>
    <w:p>
      <w:pPr>
        <w:ind w:firstLine="482" w:firstLineChars="200"/>
        <w:rPr>
          <w:rFonts w:ascii="Times New Roman" w:hAnsi="Times New Roman"/>
          <w:b/>
        </w:rPr>
      </w:pPr>
      <w:r>
        <w:rPr>
          <w:rFonts w:ascii="Times New Roman" w:hAnsi="Times New Roman"/>
          <w:b/>
        </w:rPr>
        <w:t>（4）因重大变故，采购任务取消的。</w:t>
      </w:r>
    </w:p>
    <w:p>
      <w:pPr>
        <w:spacing w:before="60" w:after="60"/>
        <w:rPr>
          <w:rFonts w:ascii="Times New Roman" w:hAnsi="Times New Roman"/>
          <w:b/>
        </w:rPr>
      </w:pPr>
      <w:r>
        <w:rPr>
          <w:rFonts w:ascii="Times New Roman" w:hAnsi="Times New Roman"/>
          <w:b/>
        </w:rPr>
        <w:t xml:space="preserve">31.串标 </w:t>
      </w:r>
    </w:p>
    <w:p>
      <w:pPr>
        <w:ind w:firstLine="480" w:firstLineChars="200"/>
        <w:rPr>
          <w:rFonts w:ascii="Times New Roman" w:hAnsi="Times New Roman"/>
        </w:rPr>
      </w:pPr>
      <w:r>
        <w:rPr>
          <w:rFonts w:ascii="Times New Roman" w:hAnsi="Times New Roman"/>
        </w:rPr>
        <w:t>31.1供应商存在以下情形的，认定为串通投标行为，并按无效投标处理：</w:t>
      </w:r>
    </w:p>
    <w:p>
      <w:pPr>
        <w:ind w:firstLine="480" w:firstLineChars="200"/>
        <w:rPr>
          <w:rFonts w:ascii="Times New Roman" w:hAnsi="Times New Roman"/>
        </w:rPr>
      </w:pPr>
      <w:r>
        <w:rPr>
          <w:rFonts w:ascii="Times New Roman" w:hAnsi="Times New Roman"/>
        </w:rPr>
        <w:t>（1）不同供应商的响应文件内容雷同或错、漏之处一致且不能合理解释的；</w:t>
      </w:r>
    </w:p>
    <w:p>
      <w:pPr>
        <w:ind w:firstLine="480" w:firstLineChars="200"/>
        <w:rPr>
          <w:rFonts w:ascii="Times New Roman" w:hAnsi="Times New Roman"/>
        </w:rPr>
      </w:pPr>
      <w:r>
        <w:rPr>
          <w:rFonts w:ascii="Times New Roman" w:hAnsi="Times New Roman"/>
        </w:rPr>
        <w:t>（2）不同供应商的法定代表人、委托代理人等由同一个单位缴纳社会保险的；</w:t>
      </w:r>
    </w:p>
    <w:p>
      <w:pPr>
        <w:ind w:firstLine="480" w:firstLineChars="200"/>
        <w:rPr>
          <w:rFonts w:ascii="Times New Roman" w:hAnsi="Times New Roman"/>
        </w:rPr>
      </w:pPr>
      <w:r>
        <w:rPr>
          <w:rFonts w:ascii="Times New Roman" w:hAnsi="Times New Roman"/>
        </w:rPr>
        <w:t>（3）由同一人携带两个及以上供应商的企业资料参与磋商的（包括资格审查、领取磋商资料、交纳或退还磋商保证金）；</w:t>
      </w:r>
    </w:p>
    <w:p>
      <w:pPr>
        <w:ind w:firstLine="480" w:firstLineChars="200"/>
        <w:rPr>
          <w:rFonts w:ascii="Times New Roman" w:hAnsi="Times New Roman"/>
        </w:rPr>
      </w:pPr>
      <w:r>
        <w:rPr>
          <w:rFonts w:ascii="Times New Roman" w:hAnsi="Times New Roman"/>
        </w:rPr>
        <w:t>（4）有关法律、法规或规章规定的其他串通投标行为。</w:t>
      </w:r>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Start w:id="144" w:name="_Hlt491765714"/>
      <w:bookmarkEnd w:id="144"/>
      <w:bookmarkStart w:id="145" w:name="_Hlt497729446"/>
      <w:bookmarkEnd w:id="145"/>
      <w:bookmarkStart w:id="146" w:name="_Toc265738866"/>
      <w:bookmarkStart w:id="147" w:name="_Toc232176278"/>
      <w:bookmarkStart w:id="148" w:name="_Toc232395218"/>
      <w:bookmarkStart w:id="149" w:name="_Toc235518472"/>
      <w:bookmarkStart w:id="150" w:name="_Toc239740357"/>
      <w:bookmarkStart w:id="151" w:name="_Toc177817340"/>
      <w:bookmarkStart w:id="152" w:name="_Toc177995479"/>
      <w:bookmarkStart w:id="153" w:name="_Toc70687174"/>
      <w:bookmarkStart w:id="154" w:name="_Toc184043047"/>
      <w:bookmarkStart w:id="155" w:name="_Toc500747195"/>
      <w:bookmarkStart w:id="156" w:name="_Toc503063428"/>
      <w:bookmarkStart w:id="157" w:name="_Toc53722846"/>
      <w:bookmarkStart w:id="158" w:name="_Toc385992360"/>
      <w:bookmarkStart w:id="159" w:name="_Toc389620199"/>
      <w:bookmarkStart w:id="160" w:name="_Toc496324585"/>
      <w:bookmarkStart w:id="161" w:name="_Toc499711049"/>
      <w:bookmarkStart w:id="162" w:name="_Toc500747068"/>
      <w:bookmarkStart w:id="163" w:name="_Toc177189241"/>
      <w:bookmarkStart w:id="164" w:name="_Toc176882548"/>
      <w:bookmarkStart w:id="165" w:name="_Toc492955421"/>
      <w:bookmarkStart w:id="166" w:name="_Toc499711890"/>
      <w:bookmarkStart w:id="167" w:name="_Toc500746972"/>
    </w:p>
    <w:p>
      <w:pPr>
        <w:widowControl/>
        <w:spacing w:line="240" w:lineRule="auto"/>
        <w:rPr>
          <w:rFonts w:ascii="Times New Roman" w:hAnsi="Times New Roman"/>
        </w:rPr>
      </w:pPr>
      <w:r>
        <w:rPr>
          <w:rFonts w:ascii="Times New Roman" w:hAnsi="Times New Roman"/>
        </w:rPr>
        <w:br w:type="page"/>
      </w:r>
    </w:p>
    <w:p>
      <w:pPr>
        <w:pStyle w:val="4"/>
        <w:spacing w:before="120" w:beforeLines="50" w:after="120" w:afterLines="50"/>
        <w:rPr>
          <w:rFonts w:ascii="Times New Roman" w:hAnsi="Times New Roman"/>
        </w:rPr>
      </w:pPr>
    </w:p>
    <w:p>
      <w:pPr>
        <w:pStyle w:val="4"/>
        <w:numPr>
          <w:ilvl w:val="0"/>
          <w:numId w:val="0"/>
        </w:numPr>
        <w:spacing w:before="120" w:beforeLines="50" w:after="120" w:afterLines="50"/>
        <w:rPr>
          <w:rFonts w:ascii="Times New Roman" w:hAnsi="Times New Roman"/>
        </w:rPr>
      </w:pPr>
      <w:r>
        <w:rPr>
          <w:rFonts w:ascii="Times New Roman" w:hAnsi="Times New Roman"/>
        </w:rPr>
        <w:t>（六）授予采购</w:t>
      </w:r>
      <w:bookmarkEnd w:id="146"/>
      <w:bookmarkEnd w:id="147"/>
      <w:bookmarkEnd w:id="148"/>
      <w:bookmarkEnd w:id="149"/>
      <w:bookmarkEnd w:id="150"/>
      <w:r>
        <w:rPr>
          <w:rFonts w:ascii="Times New Roman" w:hAnsi="Times New Roman"/>
        </w:rPr>
        <w:t>合同</w:t>
      </w:r>
    </w:p>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p>
      <w:pPr>
        <w:spacing w:before="60" w:after="60"/>
        <w:rPr>
          <w:rFonts w:ascii="Times New Roman" w:hAnsi="Times New Roman"/>
          <w:b/>
        </w:rPr>
      </w:pPr>
      <w:bookmarkStart w:id="168" w:name="_Toc184043048"/>
      <w:bookmarkStart w:id="169" w:name="_Toc385992361"/>
      <w:bookmarkStart w:id="170" w:name="_Toc389620200"/>
      <w:bookmarkStart w:id="171" w:name="_Toc70687175"/>
      <w:r>
        <w:rPr>
          <w:rFonts w:ascii="Times New Roman" w:hAnsi="Times New Roman"/>
          <w:b/>
        </w:rPr>
        <w:t>32. 定标准则</w:t>
      </w:r>
      <w:bookmarkEnd w:id="168"/>
      <w:bookmarkEnd w:id="169"/>
      <w:bookmarkEnd w:id="170"/>
      <w:bookmarkEnd w:id="171"/>
    </w:p>
    <w:p>
      <w:pPr>
        <w:ind w:firstLine="480" w:firstLineChars="200"/>
        <w:rPr>
          <w:rFonts w:ascii="Times New Roman" w:hAnsi="Times New Roman"/>
        </w:rPr>
      </w:pPr>
      <w:r>
        <w:rPr>
          <w:rFonts w:ascii="Times New Roman" w:hAnsi="Times New Roman"/>
        </w:rPr>
        <w:t>32.1除本须知第31条规定的情况外，采购人将按磋商小组推荐的排序将合同授予通过符合性审查的综合评分最高的供应商。</w:t>
      </w:r>
    </w:p>
    <w:p>
      <w:pPr>
        <w:ind w:firstLine="480" w:firstLineChars="200"/>
        <w:rPr>
          <w:rFonts w:ascii="Times New Roman" w:hAnsi="Times New Roman"/>
        </w:rPr>
      </w:pPr>
      <w:r>
        <w:rPr>
          <w:rFonts w:ascii="Times New Roman" w:hAnsi="Times New Roman"/>
        </w:rPr>
        <w:t>32.2采购人不承诺将成交合同授予报价最低的供应商。</w:t>
      </w:r>
      <w:bookmarkStart w:id="172" w:name="_Toc385992363"/>
      <w:bookmarkStart w:id="173" w:name="_Toc389620202"/>
    </w:p>
    <w:p>
      <w:pPr>
        <w:spacing w:before="60" w:after="60"/>
        <w:rPr>
          <w:rFonts w:ascii="Times New Roman" w:hAnsi="Times New Roman"/>
        </w:rPr>
      </w:pPr>
      <w:r>
        <w:rPr>
          <w:rFonts w:ascii="Times New Roman" w:hAnsi="Times New Roman"/>
        </w:rPr>
        <w:t>33.资格后审：适用</w:t>
      </w:r>
    </w:p>
    <w:p>
      <w:pPr>
        <w:spacing w:before="60" w:after="60"/>
        <w:rPr>
          <w:rFonts w:ascii="Times New Roman" w:hAnsi="Times New Roman"/>
        </w:rPr>
      </w:pPr>
      <w:bookmarkStart w:id="174" w:name="_Toc70687176"/>
      <w:bookmarkStart w:id="175" w:name="_Toc184043049"/>
      <w:r>
        <w:rPr>
          <w:rFonts w:ascii="Times New Roman" w:hAnsi="Times New Roman"/>
        </w:rPr>
        <w:t>34．接受和拒绝任何或所有磋商的权力</w:t>
      </w:r>
      <w:bookmarkEnd w:id="172"/>
      <w:bookmarkEnd w:id="173"/>
      <w:bookmarkEnd w:id="174"/>
      <w:bookmarkEnd w:id="175"/>
    </w:p>
    <w:p>
      <w:pPr>
        <w:adjustRightInd w:val="0"/>
        <w:ind w:firstLine="480" w:firstLineChars="200"/>
        <w:textAlignment w:val="baseline"/>
        <w:rPr>
          <w:rFonts w:ascii="Times New Roman" w:hAnsi="Times New Roman"/>
        </w:rPr>
      </w:pPr>
      <w:bookmarkStart w:id="176" w:name="_Toc385992364"/>
      <w:bookmarkStart w:id="177" w:name="_Toc389620203"/>
      <w:r>
        <w:rPr>
          <w:rFonts w:ascii="Times New Roman" w:hAnsi="Times New Roman"/>
        </w:rPr>
        <w:t>34.1为维护国家和社会公共利益，采购人保留在授标之前任何时候接受或拒绝任何磋商的权力，且对受影响的供应商不承担任何责任。</w:t>
      </w:r>
    </w:p>
    <w:p>
      <w:pPr>
        <w:spacing w:before="60" w:after="60"/>
        <w:rPr>
          <w:rFonts w:ascii="Times New Roman" w:hAnsi="Times New Roman"/>
        </w:rPr>
      </w:pPr>
      <w:bookmarkStart w:id="178" w:name="_Toc184043050"/>
      <w:bookmarkStart w:id="179" w:name="_Toc70687177"/>
      <w:r>
        <w:rPr>
          <w:rFonts w:ascii="Times New Roman" w:hAnsi="Times New Roman"/>
        </w:rPr>
        <w:t>35. 成交通知</w:t>
      </w:r>
      <w:bookmarkEnd w:id="176"/>
      <w:bookmarkEnd w:id="177"/>
      <w:bookmarkEnd w:id="178"/>
      <w:bookmarkEnd w:id="179"/>
    </w:p>
    <w:p>
      <w:pPr>
        <w:ind w:firstLine="480" w:firstLineChars="200"/>
        <w:rPr>
          <w:rFonts w:ascii="Times New Roman" w:hAnsi="Times New Roman"/>
        </w:rPr>
      </w:pPr>
      <w:bookmarkStart w:id="180" w:name="_Toc389620204"/>
      <w:bookmarkStart w:id="181" w:name="_Toc385992365"/>
      <w:r>
        <w:rPr>
          <w:rFonts w:ascii="Times New Roman" w:hAnsi="Times New Roman"/>
        </w:rPr>
        <w:t>35.1成交供应商确定后，采购人将向成交供应商发出《成交通知书》，同时将成交结果通知所有供应商。</w:t>
      </w:r>
    </w:p>
    <w:p>
      <w:pPr>
        <w:ind w:firstLine="480" w:firstLineChars="200"/>
        <w:rPr>
          <w:rFonts w:ascii="Times New Roman" w:hAnsi="Times New Roman"/>
        </w:rPr>
      </w:pPr>
      <w:r>
        <w:rPr>
          <w:rFonts w:ascii="Times New Roman" w:hAnsi="Times New Roman"/>
        </w:rPr>
        <w:t>35.2《成交通知书》是合同文件的组成部分。</w:t>
      </w:r>
    </w:p>
    <w:p>
      <w:pPr>
        <w:ind w:firstLine="480" w:firstLineChars="200"/>
        <w:rPr>
          <w:rFonts w:ascii="Times New Roman" w:hAnsi="Times New Roman"/>
        </w:rPr>
      </w:pPr>
      <w:r>
        <w:rPr>
          <w:rFonts w:ascii="Times New Roman" w:hAnsi="Times New Roman"/>
        </w:rPr>
        <w:t>35.3对未成交者，采购人不对未成交原因做出解释，同时亦不退还响应文件。</w:t>
      </w:r>
    </w:p>
    <w:p>
      <w:pPr>
        <w:spacing w:before="60" w:after="60"/>
        <w:rPr>
          <w:rFonts w:ascii="Times New Roman" w:hAnsi="Times New Roman"/>
        </w:rPr>
      </w:pPr>
      <w:bookmarkStart w:id="182" w:name="_Toc184043051"/>
      <w:bookmarkStart w:id="183" w:name="_Toc70687178"/>
      <w:r>
        <w:rPr>
          <w:rFonts w:ascii="Times New Roman" w:hAnsi="Times New Roman"/>
        </w:rPr>
        <w:t>36.</w:t>
      </w:r>
      <w:bookmarkEnd w:id="180"/>
      <w:bookmarkEnd w:id="181"/>
      <w:bookmarkEnd w:id="182"/>
      <w:bookmarkEnd w:id="183"/>
      <w:r>
        <w:rPr>
          <w:rFonts w:ascii="Times New Roman" w:hAnsi="Times New Roman"/>
        </w:rPr>
        <w:t>签订合同</w:t>
      </w:r>
    </w:p>
    <w:p>
      <w:pPr>
        <w:ind w:firstLine="480" w:firstLineChars="200"/>
        <w:rPr>
          <w:rFonts w:ascii="Times New Roman" w:hAnsi="Times New Roman"/>
        </w:rPr>
      </w:pPr>
      <w:r>
        <w:rPr>
          <w:rFonts w:ascii="Times New Roman" w:hAnsi="Times New Roman"/>
        </w:rPr>
        <w:t>36.1成交供应商应当自《成交通知书》发出之日起七日内，与采购人签订合同，否则按开标后撤销磋商处理，其磋商保证金将按15.6款的规定不予退还。情节严重的，将被提请财政部门列入不良行为记录名单，在一至三年内禁止参加政府采购活动。</w:t>
      </w:r>
    </w:p>
    <w:p>
      <w:pPr>
        <w:ind w:firstLine="480" w:firstLineChars="200"/>
        <w:rPr>
          <w:rFonts w:ascii="Times New Roman" w:hAnsi="Times New Roman"/>
        </w:rPr>
      </w:pPr>
      <w:r>
        <w:rPr>
          <w:rFonts w:ascii="Times New Roman" w:hAnsi="Times New Roman"/>
        </w:rPr>
        <w:t>36.2竞争性磋商文件、成交供应商的响应文件及双方确认的澄清文件等，均为有法律约束力的经济合同组成的一部分。</w:t>
      </w:r>
    </w:p>
    <w:p>
      <w:pPr>
        <w:ind w:firstLine="480" w:firstLineChars="200"/>
        <w:rPr>
          <w:rFonts w:ascii="Times New Roman" w:hAnsi="Times New Roman"/>
        </w:rPr>
      </w:pPr>
      <w:r>
        <w:rPr>
          <w:rFonts w:ascii="Times New Roman" w:hAnsi="Times New Roman"/>
        </w:rPr>
        <w:t>36.3成交供应商在磋商期间按照竞争性磋商文件的要求提供的任何文稿，包括：报告、说明、规划书、建议书和方案设计等书面材料或电子文档，其使用权和版权都归采购人所有（但该知识产权具有人身专属性的权利内容仍属成交供应商所有）。</w:t>
      </w:r>
    </w:p>
    <w:bookmarkEnd w:id="75"/>
    <w:bookmarkEnd w:id="76"/>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pStyle w:val="2"/>
        <w:spacing w:before="120" w:after="120"/>
        <w:rPr>
          <w:rFonts w:ascii="Times New Roman" w:hAnsi="Times New Roman"/>
          <w:color w:val="auto"/>
        </w:rPr>
      </w:pPr>
      <w:bookmarkStart w:id="184" w:name="_Toc41576445"/>
      <w:bookmarkStart w:id="185" w:name="_Toc436256508"/>
      <w:bookmarkStart w:id="186" w:name="_Toc170635090"/>
      <w:r>
        <w:rPr>
          <w:rFonts w:ascii="Times New Roman" w:hAnsi="Times New Roman"/>
          <w:color w:val="auto"/>
        </w:rPr>
        <w:t>第三章 评审办法</w:t>
      </w:r>
      <w:bookmarkEnd w:id="184"/>
      <w:bookmarkEnd w:id="185"/>
      <w:bookmarkEnd w:id="186"/>
    </w:p>
    <w:p>
      <w:pPr>
        <w:rPr>
          <w:rFonts w:ascii="Times New Roman" w:hAnsi="Times New Roman"/>
          <w:szCs w:val="24"/>
        </w:rPr>
      </w:pPr>
    </w:p>
    <w:p>
      <w:pPr>
        <w:rPr>
          <w:rFonts w:ascii="Times New Roman" w:hAnsi="Times New Roman"/>
        </w:rPr>
      </w:pPr>
    </w:p>
    <w:p>
      <w:pPr>
        <w:rPr>
          <w:rFonts w:ascii="Times New Roman" w:hAnsi="Times New Roman"/>
          <w:szCs w:val="24"/>
        </w:rPr>
      </w:pPr>
    </w:p>
    <w:p>
      <w:pPr>
        <w:rPr>
          <w:rFonts w:ascii="Times New Roman" w:hAnsi="Times New Roman"/>
          <w:szCs w:val="24"/>
        </w:rPr>
      </w:pPr>
    </w:p>
    <w:p>
      <w:pPr>
        <w:pStyle w:val="3"/>
        <w:rPr>
          <w:rFonts w:ascii="Times New Roman" w:hAnsi="Times New Roman"/>
        </w:rPr>
      </w:pPr>
      <w:r>
        <w:rPr>
          <w:rFonts w:ascii="Times New Roman" w:hAnsi="Times New Roman"/>
        </w:rPr>
        <w:t>评审方法及评审标准</w:t>
      </w:r>
    </w:p>
    <w:p>
      <w:pPr>
        <w:pStyle w:val="4"/>
        <w:numPr>
          <w:ilvl w:val="0"/>
          <w:numId w:val="0"/>
        </w:numPr>
        <w:spacing w:before="120" w:beforeLines="50" w:after="120" w:afterLines="50"/>
        <w:ind w:left="720" w:hanging="720"/>
        <w:jc w:val="left"/>
        <w:rPr>
          <w:rFonts w:ascii="Times New Roman" w:hAnsi="Times New Roman"/>
        </w:rPr>
      </w:pPr>
      <w:r>
        <w:rPr>
          <w:rFonts w:ascii="Times New Roman" w:hAnsi="Times New Roman"/>
        </w:rPr>
        <w:t>第一部分：</w:t>
      </w:r>
      <w:r>
        <w:rPr>
          <w:rFonts w:ascii="Times New Roman" w:hAnsi="Times New Roman"/>
          <w:kern w:val="0"/>
          <w:szCs w:val="21"/>
        </w:rPr>
        <w:t>资格与</w:t>
      </w:r>
      <w:r>
        <w:rPr>
          <w:rFonts w:ascii="Times New Roman" w:hAnsi="Times New Roman"/>
        </w:rPr>
        <w:t>符合性评审</w:t>
      </w:r>
    </w:p>
    <w:p>
      <w:pPr>
        <w:spacing w:before="60" w:after="60"/>
        <w:jc w:val="center"/>
        <w:rPr>
          <w:rFonts w:ascii="Times New Roman" w:hAnsi="Times New Roman"/>
          <w:b/>
          <w:sz w:val="28"/>
          <w:szCs w:val="28"/>
        </w:rPr>
      </w:pPr>
      <w:r>
        <w:rPr>
          <w:rFonts w:ascii="Times New Roman" w:hAnsi="Times New Roman"/>
          <w:b/>
          <w:bCs/>
          <w:kern w:val="0"/>
          <w:sz w:val="28"/>
          <w:szCs w:val="28"/>
        </w:rPr>
        <w:t>资格与</w:t>
      </w:r>
      <w:r>
        <w:rPr>
          <w:rFonts w:ascii="Times New Roman" w:hAnsi="Times New Roman"/>
          <w:b/>
          <w:sz w:val="28"/>
          <w:szCs w:val="28"/>
        </w:rPr>
        <w:t>符合性评审表</w:t>
      </w:r>
    </w:p>
    <w:tbl>
      <w:tblPr>
        <w:tblStyle w:val="51"/>
        <w:tblW w:w="9631"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25"/>
        <w:gridCol w:w="3420"/>
        <w:gridCol w:w="1417"/>
        <w:gridCol w:w="1843"/>
        <w:gridCol w:w="212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25" w:type="dxa"/>
            <w:vAlign w:val="center"/>
          </w:tcPr>
          <w:p>
            <w:pPr>
              <w:jc w:val="center"/>
              <w:rPr>
                <w:rFonts w:ascii="Times New Roman" w:hAnsi="Times New Roman"/>
              </w:rPr>
            </w:pPr>
            <w:r>
              <w:rPr>
                <w:rFonts w:ascii="Times New Roman" w:hAnsi="Times New Roman"/>
              </w:rPr>
              <w:t>序号</w:t>
            </w:r>
          </w:p>
        </w:tc>
        <w:tc>
          <w:tcPr>
            <w:tcW w:w="3420" w:type="dxa"/>
            <w:vAlign w:val="center"/>
          </w:tcPr>
          <w:p>
            <w:pPr>
              <w:jc w:val="center"/>
              <w:rPr>
                <w:rFonts w:ascii="Times New Roman" w:hAnsi="Times New Roman"/>
              </w:rPr>
            </w:pPr>
            <w:r>
              <w:rPr>
                <w:rFonts w:ascii="Times New Roman" w:hAnsi="Times New Roman"/>
              </w:rPr>
              <w:t>项目内容</w:t>
            </w:r>
          </w:p>
        </w:tc>
        <w:tc>
          <w:tcPr>
            <w:tcW w:w="1417" w:type="dxa"/>
            <w:vAlign w:val="center"/>
          </w:tcPr>
          <w:p>
            <w:pPr>
              <w:jc w:val="center"/>
              <w:rPr>
                <w:rFonts w:ascii="Times New Roman" w:hAnsi="Times New Roman"/>
              </w:rPr>
            </w:pPr>
            <w:r>
              <w:rPr>
                <w:rFonts w:ascii="Times New Roman" w:hAnsi="Times New Roman"/>
              </w:rPr>
              <w:t>合格</w:t>
            </w:r>
          </w:p>
        </w:tc>
        <w:tc>
          <w:tcPr>
            <w:tcW w:w="1843" w:type="dxa"/>
            <w:vAlign w:val="center"/>
          </w:tcPr>
          <w:p>
            <w:pPr>
              <w:jc w:val="center"/>
              <w:rPr>
                <w:rFonts w:ascii="Times New Roman" w:hAnsi="Times New Roman"/>
              </w:rPr>
            </w:pPr>
            <w:r>
              <w:rPr>
                <w:rFonts w:ascii="Times New Roman" w:hAnsi="Times New Roman"/>
              </w:rPr>
              <w:t>不合格</w:t>
            </w:r>
          </w:p>
        </w:tc>
        <w:tc>
          <w:tcPr>
            <w:tcW w:w="2126" w:type="dxa"/>
            <w:vAlign w:val="center"/>
          </w:tcPr>
          <w:p>
            <w:pPr>
              <w:jc w:val="center"/>
              <w:rPr>
                <w:rFonts w:ascii="Times New Roman" w:hAnsi="Times New Roman"/>
              </w:rPr>
            </w:pPr>
            <w:r>
              <w:rPr>
                <w:rFonts w:ascii="Times New Roman" w:hAnsi="Times New Roman"/>
              </w:rPr>
              <w:t>不合格理由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43" w:hRule="atLeast"/>
        </w:trPr>
        <w:tc>
          <w:tcPr>
            <w:tcW w:w="825" w:type="dxa"/>
            <w:vAlign w:val="center"/>
          </w:tcPr>
          <w:p>
            <w:pPr>
              <w:jc w:val="center"/>
              <w:rPr>
                <w:rFonts w:ascii="Times New Roman" w:hAnsi="Times New Roman"/>
              </w:rPr>
            </w:pPr>
            <w:r>
              <w:rPr>
                <w:rFonts w:ascii="Times New Roman" w:hAnsi="Times New Roman"/>
              </w:rPr>
              <w:t>1</w:t>
            </w:r>
          </w:p>
        </w:tc>
        <w:tc>
          <w:tcPr>
            <w:tcW w:w="3420" w:type="dxa"/>
            <w:vAlign w:val="center"/>
          </w:tcPr>
          <w:p>
            <w:pPr>
              <w:jc w:val="center"/>
              <w:rPr>
                <w:rFonts w:ascii="Times New Roman" w:hAnsi="Times New Roman"/>
              </w:rPr>
            </w:pPr>
            <w:r>
              <w:rPr>
                <w:rFonts w:ascii="Times New Roman" w:hAnsi="Times New Roman"/>
              </w:rPr>
              <w:t>资格证明文件</w:t>
            </w:r>
          </w:p>
        </w:tc>
        <w:tc>
          <w:tcPr>
            <w:tcW w:w="1417" w:type="dxa"/>
            <w:vAlign w:val="center"/>
          </w:tcPr>
          <w:p>
            <w:pPr>
              <w:jc w:val="center"/>
              <w:rPr>
                <w:rFonts w:ascii="Times New Roman" w:hAnsi="Times New Roman"/>
                <w:szCs w:val="24"/>
              </w:rPr>
            </w:pPr>
          </w:p>
        </w:tc>
        <w:tc>
          <w:tcPr>
            <w:tcW w:w="1843" w:type="dxa"/>
            <w:vAlign w:val="center"/>
          </w:tcPr>
          <w:p>
            <w:pPr>
              <w:jc w:val="center"/>
              <w:rPr>
                <w:rFonts w:ascii="Times New Roman" w:hAnsi="Times New Roman"/>
                <w:szCs w:val="24"/>
              </w:rPr>
            </w:pPr>
          </w:p>
        </w:tc>
        <w:tc>
          <w:tcPr>
            <w:tcW w:w="2126" w:type="dxa"/>
            <w:vAlign w:val="center"/>
          </w:tcPr>
          <w:p>
            <w:pPr>
              <w:jc w:val="center"/>
              <w:rPr>
                <w:rFonts w:ascii="Times New Roman" w:hAnsi="Times New Roman"/>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00" w:hRule="atLeast"/>
        </w:trPr>
        <w:tc>
          <w:tcPr>
            <w:tcW w:w="825" w:type="dxa"/>
            <w:vAlign w:val="center"/>
          </w:tcPr>
          <w:p>
            <w:pPr>
              <w:jc w:val="center"/>
              <w:rPr>
                <w:rFonts w:ascii="Times New Roman" w:hAnsi="Times New Roman"/>
              </w:rPr>
            </w:pPr>
            <w:r>
              <w:rPr>
                <w:rFonts w:ascii="Times New Roman" w:hAnsi="Times New Roman"/>
              </w:rPr>
              <w:t>2</w:t>
            </w:r>
          </w:p>
        </w:tc>
        <w:tc>
          <w:tcPr>
            <w:tcW w:w="3420" w:type="dxa"/>
            <w:vAlign w:val="center"/>
          </w:tcPr>
          <w:p>
            <w:pPr>
              <w:jc w:val="center"/>
              <w:rPr>
                <w:rFonts w:ascii="Times New Roman" w:hAnsi="Times New Roman"/>
              </w:rPr>
            </w:pPr>
            <w:r>
              <w:rPr>
                <w:rFonts w:ascii="Times New Roman" w:hAnsi="Times New Roman"/>
              </w:rPr>
              <w:t>响应文件的有效性</w:t>
            </w:r>
          </w:p>
        </w:tc>
        <w:tc>
          <w:tcPr>
            <w:tcW w:w="1417" w:type="dxa"/>
            <w:vAlign w:val="center"/>
          </w:tcPr>
          <w:p>
            <w:pPr>
              <w:jc w:val="center"/>
              <w:rPr>
                <w:rFonts w:ascii="Times New Roman" w:hAnsi="Times New Roman"/>
                <w:szCs w:val="24"/>
              </w:rPr>
            </w:pPr>
          </w:p>
        </w:tc>
        <w:tc>
          <w:tcPr>
            <w:tcW w:w="1843" w:type="dxa"/>
            <w:vAlign w:val="center"/>
          </w:tcPr>
          <w:p>
            <w:pPr>
              <w:jc w:val="center"/>
              <w:rPr>
                <w:rFonts w:ascii="Times New Roman" w:hAnsi="Times New Roman"/>
                <w:szCs w:val="24"/>
              </w:rPr>
            </w:pPr>
          </w:p>
        </w:tc>
        <w:tc>
          <w:tcPr>
            <w:tcW w:w="2126" w:type="dxa"/>
            <w:vAlign w:val="center"/>
          </w:tcPr>
          <w:p>
            <w:pPr>
              <w:jc w:val="center"/>
              <w:rPr>
                <w:rFonts w:ascii="Times New Roman" w:hAnsi="Times New Roman"/>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08" w:hRule="atLeast"/>
        </w:trPr>
        <w:tc>
          <w:tcPr>
            <w:tcW w:w="825" w:type="dxa"/>
            <w:vAlign w:val="center"/>
          </w:tcPr>
          <w:p>
            <w:pPr>
              <w:jc w:val="center"/>
              <w:rPr>
                <w:rFonts w:ascii="Times New Roman" w:hAnsi="Times New Roman"/>
              </w:rPr>
            </w:pPr>
            <w:r>
              <w:rPr>
                <w:rFonts w:ascii="Times New Roman" w:hAnsi="Times New Roman"/>
              </w:rPr>
              <w:t>3</w:t>
            </w:r>
          </w:p>
        </w:tc>
        <w:tc>
          <w:tcPr>
            <w:tcW w:w="3420" w:type="dxa"/>
            <w:vAlign w:val="center"/>
          </w:tcPr>
          <w:p>
            <w:pPr>
              <w:jc w:val="center"/>
              <w:rPr>
                <w:rFonts w:ascii="Times New Roman" w:hAnsi="Times New Roman"/>
              </w:rPr>
            </w:pPr>
            <w:r>
              <w:rPr>
                <w:rFonts w:ascii="Times New Roman" w:hAnsi="Times New Roman"/>
              </w:rPr>
              <w:t>响应文件的完整性</w:t>
            </w:r>
          </w:p>
        </w:tc>
        <w:tc>
          <w:tcPr>
            <w:tcW w:w="1417" w:type="dxa"/>
            <w:vAlign w:val="center"/>
          </w:tcPr>
          <w:p>
            <w:pPr>
              <w:jc w:val="center"/>
              <w:rPr>
                <w:rFonts w:ascii="Times New Roman" w:hAnsi="Times New Roman"/>
                <w:szCs w:val="24"/>
              </w:rPr>
            </w:pPr>
          </w:p>
        </w:tc>
        <w:tc>
          <w:tcPr>
            <w:tcW w:w="1843" w:type="dxa"/>
            <w:vAlign w:val="center"/>
          </w:tcPr>
          <w:p>
            <w:pPr>
              <w:jc w:val="center"/>
              <w:rPr>
                <w:rFonts w:ascii="Times New Roman" w:hAnsi="Times New Roman"/>
                <w:szCs w:val="24"/>
              </w:rPr>
            </w:pPr>
          </w:p>
        </w:tc>
        <w:tc>
          <w:tcPr>
            <w:tcW w:w="2126" w:type="dxa"/>
            <w:vAlign w:val="center"/>
          </w:tcPr>
          <w:p>
            <w:pPr>
              <w:jc w:val="center"/>
              <w:rPr>
                <w:rFonts w:ascii="Times New Roman" w:hAnsi="Times New Roman"/>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76" w:hRule="atLeast"/>
        </w:trPr>
        <w:tc>
          <w:tcPr>
            <w:tcW w:w="825" w:type="dxa"/>
            <w:vAlign w:val="center"/>
          </w:tcPr>
          <w:p>
            <w:pPr>
              <w:jc w:val="center"/>
              <w:rPr>
                <w:rFonts w:ascii="Times New Roman" w:hAnsi="Times New Roman"/>
              </w:rPr>
            </w:pPr>
            <w:r>
              <w:rPr>
                <w:rFonts w:ascii="Times New Roman" w:hAnsi="Times New Roman"/>
              </w:rPr>
              <w:t>4</w:t>
            </w:r>
          </w:p>
        </w:tc>
        <w:tc>
          <w:tcPr>
            <w:tcW w:w="3420" w:type="dxa"/>
            <w:vAlign w:val="center"/>
          </w:tcPr>
          <w:p>
            <w:pPr>
              <w:jc w:val="center"/>
              <w:rPr>
                <w:rFonts w:ascii="Times New Roman" w:hAnsi="Times New Roman"/>
              </w:rPr>
            </w:pPr>
            <w:r>
              <w:rPr>
                <w:rFonts w:ascii="Times New Roman" w:hAnsi="Times New Roman"/>
              </w:rPr>
              <w:t>对竞争性磋商文件的响应程度</w:t>
            </w:r>
          </w:p>
        </w:tc>
        <w:tc>
          <w:tcPr>
            <w:tcW w:w="1417" w:type="dxa"/>
            <w:vAlign w:val="center"/>
          </w:tcPr>
          <w:p>
            <w:pPr>
              <w:jc w:val="center"/>
              <w:rPr>
                <w:rFonts w:ascii="Times New Roman" w:hAnsi="Times New Roman"/>
                <w:szCs w:val="24"/>
              </w:rPr>
            </w:pPr>
          </w:p>
        </w:tc>
        <w:tc>
          <w:tcPr>
            <w:tcW w:w="1843" w:type="dxa"/>
            <w:vAlign w:val="center"/>
          </w:tcPr>
          <w:p>
            <w:pPr>
              <w:jc w:val="center"/>
              <w:rPr>
                <w:rFonts w:ascii="Times New Roman" w:hAnsi="Times New Roman"/>
                <w:szCs w:val="24"/>
              </w:rPr>
            </w:pPr>
          </w:p>
        </w:tc>
        <w:tc>
          <w:tcPr>
            <w:tcW w:w="2126" w:type="dxa"/>
            <w:vAlign w:val="center"/>
          </w:tcPr>
          <w:p>
            <w:pPr>
              <w:jc w:val="center"/>
              <w:rPr>
                <w:rFonts w:ascii="Times New Roman" w:hAnsi="Times New Roman"/>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00" w:hRule="atLeast"/>
        </w:trPr>
        <w:tc>
          <w:tcPr>
            <w:tcW w:w="825" w:type="dxa"/>
            <w:vAlign w:val="center"/>
          </w:tcPr>
          <w:p>
            <w:pPr>
              <w:jc w:val="center"/>
              <w:rPr>
                <w:rFonts w:ascii="Times New Roman" w:hAnsi="Times New Roman"/>
              </w:rPr>
            </w:pPr>
            <w:r>
              <w:rPr>
                <w:rFonts w:ascii="Times New Roman" w:hAnsi="Times New Roman"/>
              </w:rPr>
              <w:t>5</w:t>
            </w:r>
          </w:p>
        </w:tc>
        <w:tc>
          <w:tcPr>
            <w:tcW w:w="3420" w:type="dxa"/>
            <w:vAlign w:val="center"/>
          </w:tcPr>
          <w:p>
            <w:pPr>
              <w:jc w:val="center"/>
              <w:rPr>
                <w:rFonts w:ascii="Times New Roman" w:hAnsi="Times New Roman"/>
              </w:rPr>
            </w:pPr>
            <w:r>
              <w:rPr>
                <w:rFonts w:ascii="Times New Roman" w:hAnsi="Times New Roman"/>
              </w:rPr>
              <w:t>报价是否超过预算</w:t>
            </w:r>
          </w:p>
        </w:tc>
        <w:tc>
          <w:tcPr>
            <w:tcW w:w="1417" w:type="dxa"/>
            <w:vAlign w:val="center"/>
          </w:tcPr>
          <w:p>
            <w:pPr>
              <w:jc w:val="center"/>
              <w:rPr>
                <w:rFonts w:ascii="Times New Roman" w:hAnsi="Times New Roman"/>
                <w:szCs w:val="24"/>
              </w:rPr>
            </w:pPr>
          </w:p>
        </w:tc>
        <w:tc>
          <w:tcPr>
            <w:tcW w:w="1843" w:type="dxa"/>
            <w:vAlign w:val="center"/>
          </w:tcPr>
          <w:p>
            <w:pPr>
              <w:jc w:val="center"/>
              <w:rPr>
                <w:rFonts w:ascii="Times New Roman" w:hAnsi="Times New Roman"/>
                <w:szCs w:val="24"/>
              </w:rPr>
            </w:pPr>
          </w:p>
        </w:tc>
        <w:tc>
          <w:tcPr>
            <w:tcW w:w="2126" w:type="dxa"/>
            <w:vAlign w:val="center"/>
          </w:tcPr>
          <w:p>
            <w:pPr>
              <w:jc w:val="center"/>
              <w:rPr>
                <w:rFonts w:ascii="Times New Roman" w:hAnsi="Times New Roman"/>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95" w:hRule="atLeast"/>
        </w:trPr>
        <w:tc>
          <w:tcPr>
            <w:tcW w:w="825" w:type="dxa"/>
            <w:vAlign w:val="center"/>
          </w:tcPr>
          <w:p>
            <w:pPr>
              <w:jc w:val="center"/>
              <w:rPr>
                <w:rFonts w:ascii="Times New Roman" w:hAnsi="Times New Roman"/>
              </w:rPr>
            </w:pPr>
            <w:r>
              <w:rPr>
                <w:rFonts w:ascii="Times New Roman" w:hAnsi="Times New Roman"/>
              </w:rPr>
              <w:t>6</w:t>
            </w:r>
          </w:p>
        </w:tc>
        <w:tc>
          <w:tcPr>
            <w:tcW w:w="3420" w:type="dxa"/>
            <w:vAlign w:val="center"/>
          </w:tcPr>
          <w:p>
            <w:pPr>
              <w:jc w:val="center"/>
              <w:rPr>
                <w:rFonts w:ascii="Times New Roman" w:hAnsi="Times New Roman"/>
              </w:rPr>
            </w:pPr>
            <w:r>
              <w:rPr>
                <w:rFonts w:ascii="Times New Roman" w:hAnsi="Times New Roman"/>
              </w:rPr>
              <w:t>磋商保证金</w:t>
            </w:r>
          </w:p>
        </w:tc>
        <w:tc>
          <w:tcPr>
            <w:tcW w:w="1417" w:type="dxa"/>
            <w:vAlign w:val="center"/>
          </w:tcPr>
          <w:p>
            <w:pPr>
              <w:jc w:val="center"/>
              <w:rPr>
                <w:rFonts w:ascii="Times New Roman" w:hAnsi="Times New Roman"/>
                <w:szCs w:val="24"/>
              </w:rPr>
            </w:pPr>
          </w:p>
        </w:tc>
        <w:tc>
          <w:tcPr>
            <w:tcW w:w="1843" w:type="dxa"/>
            <w:vAlign w:val="center"/>
          </w:tcPr>
          <w:p>
            <w:pPr>
              <w:jc w:val="center"/>
              <w:rPr>
                <w:rFonts w:ascii="Times New Roman" w:hAnsi="Times New Roman"/>
                <w:szCs w:val="24"/>
              </w:rPr>
            </w:pPr>
          </w:p>
        </w:tc>
        <w:tc>
          <w:tcPr>
            <w:tcW w:w="2126" w:type="dxa"/>
            <w:vAlign w:val="center"/>
          </w:tcPr>
          <w:p>
            <w:pPr>
              <w:jc w:val="center"/>
              <w:rPr>
                <w:rFonts w:ascii="Times New Roman" w:hAnsi="Times New Roman"/>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34" w:hRule="atLeast"/>
        </w:trPr>
        <w:tc>
          <w:tcPr>
            <w:tcW w:w="825" w:type="dxa"/>
            <w:vAlign w:val="center"/>
          </w:tcPr>
          <w:p>
            <w:pPr>
              <w:jc w:val="center"/>
              <w:rPr>
                <w:rFonts w:ascii="Times New Roman" w:hAnsi="Times New Roman"/>
              </w:rPr>
            </w:pPr>
            <w:r>
              <w:rPr>
                <w:rFonts w:ascii="Times New Roman" w:hAnsi="Times New Roman"/>
              </w:rPr>
              <w:t>7</w:t>
            </w:r>
          </w:p>
        </w:tc>
        <w:tc>
          <w:tcPr>
            <w:tcW w:w="3420" w:type="dxa"/>
            <w:vAlign w:val="center"/>
          </w:tcPr>
          <w:p>
            <w:pPr>
              <w:jc w:val="center"/>
              <w:rPr>
                <w:rFonts w:ascii="Times New Roman" w:hAnsi="Times New Roman"/>
              </w:rPr>
            </w:pPr>
            <w:r>
              <w:rPr>
                <w:rFonts w:ascii="Times New Roman" w:hAnsi="Times New Roman"/>
              </w:rPr>
              <w:t>其它实质性偏差</w:t>
            </w:r>
          </w:p>
        </w:tc>
        <w:tc>
          <w:tcPr>
            <w:tcW w:w="1417" w:type="dxa"/>
            <w:vAlign w:val="center"/>
          </w:tcPr>
          <w:p>
            <w:pPr>
              <w:jc w:val="center"/>
              <w:rPr>
                <w:rFonts w:ascii="Times New Roman" w:hAnsi="Times New Roman"/>
                <w:szCs w:val="24"/>
              </w:rPr>
            </w:pPr>
          </w:p>
        </w:tc>
        <w:tc>
          <w:tcPr>
            <w:tcW w:w="1843" w:type="dxa"/>
            <w:vAlign w:val="center"/>
          </w:tcPr>
          <w:p>
            <w:pPr>
              <w:jc w:val="center"/>
              <w:rPr>
                <w:rFonts w:ascii="Times New Roman" w:hAnsi="Times New Roman"/>
                <w:szCs w:val="24"/>
              </w:rPr>
            </w:pPr>
          </w:p>
        </w:tc>
        <w:tc>
          <w:tcPr>
            <w:tcW w:w="2126" w:type="dxa"/>
            <w:vAlign w:val="center"/>
          </w:tcPr>
          <w:p>
            <w:pPr>
              <w:jc w:val="center"/>
              <w:rPr>
                <w:rFonts w:ascii="Times New Roman" w:hAnsi="Times New Roman"/>
                <w:szCs w:val="24"/>
              </w:rPr>
            </w:pPr>
          </w:p>
        </w:tc>
      </w:tr>
    </w:tbl>
    <w:p>
      <w:pPr>
        <w:pStyle w:val="4"/>
        <w:numPr>
          <w:ilvl w:val="0"/>
          <w:numId w:val="0"/>
        </w:numPr>
        <w:spacing w:before="120" w:beforeLines="50" w:after="120" w:afterLines="50"/>
        <w:ind w:left="720" w:hanging="720"/>
        <w:jc w:val="left"/>
        <w:rPr>
          <w:rFonts w:ascii="Times New Roman" w:hAnsi="Times New Roman"/>
        </w:rPr>
      </w:pPr>
    </w:p>
    <w:p>
      <w:pPr>
        <w:widowControl/>
        <w:spacing w:line="240" w:lineRule="auto"/>
        <w:rPr>
          <w:rFonts w:ascii="Times New Roman" w:hAnsi="Times New Roman"/>
          <w:b/>
          <w:bCs/>
          <w:sz w:val="28"/>
          <w:szCs w:val="32"/>
        </w:rPr>
      </w:pPr>
      <w:r>
        <w:rPr>
          <w:rFonts w:ascii="Times New Roman" w:hAnsi="Times New Roman"/>
        </w:rPr>
        <w:br w:type="page"/>
      </w:r>
    </w:p>
    <w:p>
      <w:pPr>
        <w:pStyle w:val="4"/>
        <w:numPr>
          <w:ilvl w:val="0"/>
          <w:numId w:val="0"/>
        </w:numPr>
        <w:spacing w:before="120" w:beforeLines="50" w:after="120" w:afterLines="50"/>
        <w:ind w:left="720" w:hanging="720"/>
        <w:jc w:val="left"/>
        <w:rPr>
          <w:rFonts w:ascii="Times New Roman" w:hAnsi="Times New Roman"/>
        </w:rPr>
      </w:pPr>
      <w:r>
        <w:rPr>
          <w:rFonts w:ascii="Times New Roman" w:hAnsi="Times New Roman"/>
        </w:rPr>
        <w:t>第二部分：评审方法</w:t>
      </w:r>
    </w:p>
    <w:p>
      <w:pPr>
        <w:ind w:firstLine="480" w:firstLineChars="200"/>
        <w:rPr>
          <w:rFonts w:ascii="Times New Roman" w:hAnsi="Times New Roman"/>
        </w:rPr>
      </w:pPr>
      <w:r>
        <w:rPr>
          <w:rFonts w:ascii="Times New Roman" w:hAnsi="Times New Roman"/>
        </w:rPr>
        <w:t>本项目采用综合评分法。</w:t>
      </w:r>
    </w:p>
    <w:p>
      <w:pPr>
        <w:spacing w:line="380" w:lineRule="exact"/>
        <w:ind w:firstLine="361" w:firstLineChars="150"/>
        <w:jc w:val="center"/>
        <w:rPr>
          <w:rFonts w:hint="eastAsia" w:ascii="宋体" w:hAnsi="宋体" w:cs="宋体"/>
          <w:sz w:val="24"/>
        </w:rPr>
      </w:pPr>
      <w:r>
        <w:rPr>
          <w:rFonts w:hint="eastAsia" w:ascii="宋体" w:hAnsi="宋体" w:cs="宋体"/>
          <w:b/>
          <w:sz w:val="24"/>
        </w:rPr>
        <w:t>评审表</w:t>
      </w:r>
    </w:p>
    <w:tbl>
      <w:tblPr>
        <w:tblStyle w:val="51"/>
        <w:tblW w:w="9515" w:type="dxa"/>
        <w:jc w:val="center"/>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Layout w:type="fixed"/>
        <w:tblCellMar>
          <w:top w:w="0" w:type="dxa"/>
          <w:left w:w="108" w:type="dxa"/>
          <w:bottom w:w="0" w:type="dxa"/>
          <w:right w:w="108" w:type="dxa"/>
        </w:tblCellMar>
      </w:tblPr>
      <w:tblGrid>
        <w:gridCol w:w="1775"/>
        <w:gridCol w:w="1040"/>
        <w:gridCol w:w="74"/>
        <w:gridCol w:w="1823"/>
        <w:gridCol w:w="377"/>
        <w:gridCol w:w="2258"/>
        <w:gridCol w:w="1268"/>
        <w:gridCol w:w="57"/>
        <w:gridCol w:w="843"/>
      </w:tblGrid>
      <w:tr>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108" w:type="dxa"/>
            <w:bottom w:w="0" w:type="dxa"/>
            <w:right w:w="108" w:type="dxa"/>
          </w:tblCellMar>
        </w:tblPrEx>
        <w:trPr>
          <w:cantSplit/>
          <w:trHeight w:val="535" w:hRule="atLeast"/>
          <w:jc w:val="center"/>
        </w:trPr>
        <w:tc>
          <w:tcPr>
            <w:tcW w:w="2889" w:type="dxa"/>
            <w:gridSpan w:val="3"/>
            <w:tcBorders>
              <w:top w:val="single" w:color="auto" w:sz="2" w:space="0"/>
              <w:left w:val="single" w:color="auto" w:sz="2" w:space="0"/>
              <w:bottom w:val="single" w:color="auto" w:sz="2" w:space="0"/>
              <w:right w:val="single" w:color="auto" w:sz="4" w:space="0"/>
            </w:tcBorders>
            <w:vAlign w:val="center"/>
          </w:tcPr>
          <w:p>
            <w:pPr>
              <w:adjustRightInd w:val="0"/>
              <w:snapToGrid w:val="0"/>
              <w:spacing w:line="300" w:lineRule="auto"/>
              <w:jc w:val="center"/>
              <w:rPr>
                <w:rFonts w:hint="eastAsia" w:ascii="宋体" w:hAnsi="宋体" w:cs="宋体"/>
                <w:b/>
                <w:sz w:val="24"/>
              </w:rPr>
            </w:pPr>
            <w:r>
              <w:rPr>
                <w:rFonts w:hint="eastAsia" w:ascii="宋体" w:hAnsi="宋体" w:cs="宋体"/>
                <w:b/>
                <w:sz w:val="24"/>
              </w:rPr>
              <w:t>评分项目</w:t>
            </w:r>
          </w:p>
        </w:tc>
        <w:tc>
          <w:tcPr>
            <w:tcW w:w="2200" w:type="dxa"/>
            <w:gridSpan w:val="2"/>
            <w:tcBorders>
              <w:top w:val="single" w:color="auto" w:sz="2" w:space="0"/>
              <w:left w:val="single" w:color="auto" w:sz="2" w:space="0"/>
              <w:bottom w:val="single" w:color="auto" w:sz="2" w:space="0"/>
              <w:right w:val="single" w:color="auto" w:sz="4" w:space="0"/>
            </w:tcBorders>
            <w:vAlign w:val="center"/>
          </w:tcPr>
          <w:p>
            <w:pPr>
              <w:adjustRightInd w:val="0"/>
              <w:snapToGrid w:val="0"/>
              <w:spacing w:line="300" w:lineRule="auto"/>
              <w:jc w:val="center"/>
              <w:rPr>
                <w:rFonts w:hint="eastAsia" w:ascii="宋体" w:hAnsi="宋体" w:cs="宋体"/>
                <w:b/>
                <w:sz w:val="24"/>
              </w:rPr>
            </w:pPr>
            <w:r>
              <w:rPr>
                <w:rFonts w:hint="eastAsia" w:ascii="宋体" w:hAnsi="宋体" w:cs="宋体"/>
                <w:b/>
                <w:sz w:val="24"/>
              </w:rPr>
              <w:t>技术评分</w:t>
            </w:r>
          </w:p>
        </w:tc>
        <w:tc>
          <w:tcPr>
            <w:tcW w:w="2258" w:type="dxa"/>
            <w:tcBorders>
              <w:top w:val="single" w:color="auto" w:sz="2" w:space="0"/>
              <w:left w:val="single" w:color="auto" w:sz="4" w:space="0"/>
              <w:bottom w:val="single" w:color="auto" w:sz="2" w:space="0"/>
              <w:right w:val="single" w:color="auto" w:sz="2" w:space="0"/>
            </w:tcBorders>
            <w:vAlign w:val="center"/>
          </w:tcPr>
          <w:p>
            <w:pPr>
              <w:adjustRightInd w:val="0"/>
              <w:snapToGrid w:val="0"/>
              <w:spacing w:line="300" w:lineRule="auto"/>
              <w:jc w:val="center"/>
              <w:rPr>
                <w:rFonts w:hint="eastAsia" w:ascii="宋体" w:hAnsi="宋体" w:cs="宋体"/>
                <w:b/>
                <w:sz w:val="24"/>
              </w:rPr>
            </w:pPr>
            <w:r>
              <w:rPr>
                <w:rFonts w:hint="eastAsia" w:ascii="宋体" w:hAnsi="宋体" w:cs="宋体"/>
                <w:b/>
                <w:sz w:val="24"/>
              </w:rPr>
              <w:t>商务评分</w:t>
            </w:r>
          </w:p>
        </w:tc>
        <w:tc>
          <w:tcPr>
            <w:tcW w:w="2168"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b/>
                <w:sz w:val="24"/>
              </w:rPr>
            </w:pPr>
            <w:r>
              <w:rPr>
                <w:rFonts w:hint="eastAsia" w:ascii="宋体" w:hAnsi="宋体" w:cs="宋体"/>
                <w:b/>
                <w:sz w:val="24"/>
              </w:rPr>
              <w:t>租金报价评分</w:t>
            </w:r>
          </w:p>
        </w:tc>
      </w:tr>
      <w:tr>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108" w:type="dxa"/>
            <w:bottom w:w="0" w:type="dxa"/>
            <w:right w:w="108" w:type="dxa"/>
          </w:tblCellMar>
        </w:tblPrEx>
        <w:trPr>
          <w:cantSplit/>
          <w:trHeight w:val="298" w:hRule="atLeast"/>
          <w:jc w:val="center"/>
        </w:trPr>
        <w:tc>
          <w:tcPr>
            <w:tcW w:w="2889" w:type="dxa"/>
            <w:gridSpan w:val="3"/>
            <w:tcBorders>
              <w:top w:val="single" w:color="auto" w:sz="2" w:space="0"/>
              <w:left w:val="single" w:color="auto" w:sz="2" w:space="0"/>
              <w:bottom w:val="single" w:color="auto" w:sz="2" w:space="0"/>
              <w:right w:val="single" w:color="auto" w:sz="4" w:space="0"/>
            </w:tcBorders>
            <w:vAlign w:val="center"/>
          </w:tcPr>
          <w:p>
            <w:pPr>
              <w:adjustRightInd w:val="0"/>
              <w:snapToGrid w:val="0"/>
              <w:spacing w:line="300" w:lineRule="auto"/>
              <w:jc w:val="center"/>
              <w:rPr>
                <w:rFonts w:hint="eastAsia" w:ascii="宋体" w:hAnsi="宋体" w:cs="宋体"/>
                <w:b/>
                <w:sz w:val="24"/>
              </w:rPr>
            </w:pPr>
            <w:r>
              <w:rPr>
                <w:rFonts w:hint="eastAsia" w:ascii="宋体" w:hAnsi="宋体" w:cs="宋体"/>
                <w:b/>
                <w:sz w:val="24"/>
              </w:rPr>
              <w:t>权    重</w:t>
            </w:r>
          </w:p>
        </w:tc>
        <w:tc>
          <w:tcPr>
            <w:tcW w:w="2200" w:type="dxa"/>
            <w:gridSpan w:val="2"/>
            <w:tcBorders>
              <w:top w:val="single" w:color="auto" w:sz="2" w:space="0"/>
              <w:left w:val="single" w:color="auto" w:sz="2" w:space="0"/>
              <w:bottom w:val="single" w:color="auto" w:sz="2" w:space="0"/>
              <w:right w:val="single" w:color="auto" w:sz="4" w:space="0"/>
            </w:tcBorders>
            <w:vAlign w:val="center"/>
          </w:tcPr>
          <w:p>
            <w:pPr>
              <w:adjustRightInd w:val="0"/>
              <w:snapToGrid w:val="0"/>
              <w:spacing w:line="300" w:lineRule="auto"/>
              <w:jc w:val="center"/>
              <w:rPr>
                <w:rFonts w:hint="eastAsia" w:ascii="宋体" w:hAnsi="宋体" w:cs="宋体"/>
                <w:b/>
                <w:sz w:val="24"/>
              </w:rPr>
            </w:pPr>
            <w:r>
              <w:rPr>
                <w:rFonts w:ascii="宋体" w:hAnsi="宋体" w:cs="宋体"/>
                <w:b/>
                <w:sz w:val="24"/>
              </w:rPr>
              <w:t>65</w:t>
            </w:r>
            <w:r>
              <w:rPr>
                <w:rFonts w:hint="eastAsia" w:ascii="宋体" w:hAnsi="宋体" w:cs="宋体"/>
                <w:b/>
                <w:sz w:val="24"/>
              </w:rPr>
              <w:t>%</w:t>
            </w:r>
          </w:p>
        </w:tc>
        <w:tc>
          <w:tcPr>
            <w:tcW w:w="2258" w:type="dxa"/>
            <w:tcBorders>
              <w:top w:val="single" w:color="auto" w:sz="2" w:space="0"/>
              <w:left w:val="single" w:color="auto" w:sz="4" w:space="0"/>
              <w:bottom w:val="single" w:color="auto" w:sz="2" w:space="0"/>
              <w:right w:val="single" w:color="auto" w:sz="2" w:space="0"/>
            </w:tcBorders>
            <w:vAlign w:val="center"/>
          </w:tcPr>
          <w:p>
            <w:pPr>
              <w:adjustRightInd w:val="0"/>
              <w:snapToGrid w:val="0"/>
              <w:spacing w:line="300" w:lineRule="auto"/>
              <w:jc w:val="center"/>
              <w:rPr>
                <w:rFonts w:hint="eastAsia" w:ascii="宋体" w:hAnsi="宋体" w:cs="宋体"/>
                <w:b/>
                <w:sz w:val="24"/>
              </w:rPr>
            </w:pPr>
            <w:r>
              <w:rPr>
                <w:rFonts w:ascii="宋体" w:hAnsi="宋体" w:cs="宋体"/>
                <w:b/>
                <w:sz w:val="24"/>
              </w:rPr>
              <w:t>5</w:t>
            </w:r>
            <w:r>
              <w:rPr>
                <w:rFonts w:hint="eastAsia" w:ascii="宋体" w:hAnsi="宋体" w:cs="宋体"/>
                <w:b/>
                <w:sz w:val="24"/>
              </w:rPr>
              <w:t>%</w:t>
            </w:r>
          </w:p>
        </w:tc>
        <w:tc>
          <w:tcPr>
            <w:tcW w:w="2168"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b/>
                <w:sz w:val="24"/>
              </w:rPr>
            </w:pPr>
            <w:r>
              <w:rPr>
                <w:rFonts w:hint="eastAsia" w:ascii="宋体" w:hAnsi="宋体" w:cs="宋体"/>
                <w:b/>
                <w:sz w:val="24"/>
              </w:rPr>
              <w:t>30%</w:t>
            </w:r>
          </w:p>
        </w:tc>
      </w:tr>
      <w:tr>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108" w:type="dxa"/>
            <w:bottom w:w="0" w:type="dxa"/>
            <w:right w:w="108" w:type="dxa"/>
          </w:tblCellMar>
        </w:tblPrEx>
        <w:trPr>
          <w:cantSplit/>
          <w:trHeight w:val="410" w:hRule="atLeast"/>
          <w:jc w:val="center"/>
        </w:trPr>
        <w:tc>
          <w:tcPr>
            <w:tcW w:w="9515" w:type="dxa"/>
            <w:gridSpan w:val="9"/>
            <w:tcBorders>
              <w:top w:val="single" w:color="auto" w:sz="2" w:space="0"/>
              <w:left w:val="single" w:color="auto" w:sz="2" w:space="0"/>
              <w:bottom w:val="single" w:color="auto" w:sz="2" w:space="0"/>
              <w:right w:val="single" w:color="auto" w:sz="4" w:space="0"/>
            </w:tcBorders>
            <w:vAlign w:val="center"/>
          </w:tcPr>
          <w:p>
            <w:pPr>
              <w:jc w:val="center"/>
              <w:rPr>
                <w:rFonts w:hint="eastAsia" w:ascii="宋体" w:hAnsi="宋体" w:cs="宋体"/>
                <w:b/>
                <w:sz w:val="24"/>
              </w:rPr>
            </w:pPr>
            <w:r>
              <w:rPr>
                <w:rFonts w:hint="eastAsia" w:ascii="宋体" w:hAnsi="宋体" w:cs="宋体"/>
                <w:b/>
                <w:sz w:val="24"/>
              </w:rPr>
              <w:t>技术评分（</w:t>
            </w:r>
            <w:r>
              <w:rPr>
                <w:rFonts w:ascii="宋体" w:hAnsi="宋体" w:cs="宋体"/>
                <w:b/>
                <w:sz w:val="24"/>
              </w:rPr>
              <w:t>65</w:t>
            </w:r>
            <w:r>
              <w:rPr>
                <w:rFonts w:hint="eastAsia" w:ascii="宋体" w:hAnsi="宋体" w:cs="宋体"/>
                <w:b/>
                <w:sz w:val="24"/>
              </w:rPr>
              <w:t>分）</w:t>
            </w:r>
          </w:p>
        </w:tc>
      </w:tr>
      <w:tr>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108" w:type="dxa"/>
            <w:bottom w:w="0" w:type="dxa"/>
            <w:right w:w="108" w:type="dxa"/>
          </w:tblCellMar>
        </w:tblPrEx>
        <w:trPr>
          <w:cantSplit/>
          <w:trHeight w:val="415" w:hRule="atLeast"/>
          <w:jc w:val="center"/>
        </w:trPr>
        <w:tc>
          <w:tcPr>
            <w:tcW w:w="7347" w:type="dxa"/>
            <w:gridSpan w:val="6"/>
            <w:tcBorders>
              <w:top w:val="single" w:color="auto" w:sz="2" w:space="0"/>
              <w:left w:val="single" w:color="auto" w:sz="2" w:space="0"/>
              <w:bottom w:val="single" w:color="auto" w:sz="4" w:space="0"/>
              <w:right w:val="single" w:color="auto" w:sz="2" w:space="0"/>
            </w:tcBorders>
            <w:vAlign w:val="center"/>
          </w:tcPr>
          <w:p>
            <w:pPr>
              <w:ind w:right="2256" w:rightChars="940"/>
              <w:jc w:val="center"/>
              <w:rPr>
                <w:rFonts w:hint="eastAsia" w:ascii="宋体" w:hAnsi="宋体" w:cs="宋体"/>
                <w:sz w:val="24"/>
              </w:rPr>
            </w:pPr>
            <w:r>
              <w:rPr>
                <w:rFonts w:hint="eastAsia" w:ascii="宋体" w:hAnsi="宋体" w:cs="宋体"/>
                <w:sz w:val="24"/>
              </w:rPr>
              <w:t xml:space="preserve">            技术因素</w:t>
            </w:r>
          </w:p>
        </w:tc>
        <w:tc>
          <w:tcPr>
            <w:tcW w:w="1268" w:type="dxa"/>
            <w:tcBorders>
              <w:top w:val="single" w:color="auto" w:sz="4" w:space="0"/>
              <w:left w:val="single" w:color="auto" w:sz="4" w:space="0"/>
              <w:bottom w:val="single" w:color="auto" w:sz="4" w:space="0"/>
              <w:right w:val="single" w:color="auto" w:sz="2" w:space="0"/>
            </w:tcBorders>
            <w:vAlign w:val="center"/>
          </w:tcPr>
          <w:p>
            <w:pPr>
              <w:jc w:val="center"/>
              <w:rPr>
                <w:rFonts w:hint="eastAsia" w:ascii="宋体" w:hAnsi="宋体" w:cs="宋体"/>
                <w:sz w:val="24"/>
              </w:rPr>
            </w:pPr>
            <w:r>
              <w:rPr>
                <w:rFonts w:hint="eastAsia" w:ascii="宋体" w:hAnsi="宋体" w:cs="宋体"/>
                <w:sz w:val="24"/>
              </w:rPr>
              <w:t>分值</w:t>
            </w:r>
          </w:p>
        </w:tc>
        <w:tc>
          <w:tcPr>
            <w:tcW w:w="900" w:type="dxa"/>
            <w:gridSpan w:val="2"/>
            <w:tcBorders>
              <w:top w:val="single" w:color="auto" w:sz="4" w:space="0"/>
              <w:left w:val="single" w:color="auto" w:sz="2" w:space="0"/>
              <w:bottom w:val="single" w:color="auto" w:sz="4" w:space="0"/>
              <w:right w:val="single" w:color="auto" w:sz="4" w:space="0"/>
            </w:tcBorders>
            <w:vAlign w:val="center"/>
          </w:tcPr>
          <w:p>
            <w:pPr>
              <w:jc w:val="center"/>
              <w:rPr>
                <w:rFonts w:hint="eastAsia" w:ascii="宋体" w:hAnsi="宋体" w:cs="宋体"/>
                <w:b/>
                <w:sz w:val="24"/>
              </w:rPr>
            </w:pPr>
            <w:r>
              <w:rPr>
                <w:rFonts w:hint="eastAsia" w:ascii="宋体" w:hAnsi="宋体" w:cs="宋体"/>
                <w:b/>
                <w:sz w:val="24"/>
              </w:rPr>
              <w:t>权重</w:t>
            </w:r>
          </w:p>
        </w:tc>
      </w:tr>
      <w:tr>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108" w:type="dxa"/>
            <w:bottom w:w="0" w:type="dxa"/>
            <w:right w:w="108" w:type="dxa"/>
          </w:tblCellMar>
        </w:tblPrEx>
        <w:trPr>
          <w:cantSplit/>
          <w:trHeight w:val="298" w:hRule="atLeast"/>
          <w:jc w:val="center"/>
        </w:trPr>
        <w:tc>
          <w:tcPr>
            <w:tcW w:w="2815" w:type="dxa"/>
            <w:gridSpan w:val="2"/>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lang w:eastAsia="zh-CN"/>
              </w:rPr>
            </w:pPr>
            <w:r>
              <w:rPr>
                <w:rFonts w:hint="eastAsia" w:ascii="宋体" w:hAnsi="宋体" w:cs="宋体"/>
                <w:sz w:val="24"/>
              </w:rPr>
              <w:t>设备技术</w:t>
            </w:r>
            <w:r>
              <w:rPr>
                <w:rFonts w:hint="eastAsia" w:cs="宋体"/>
                <w:sz w:val="24"/>
                <w:lang w:eastAsia="zh-CN"/>
              </w:rPr>
              <w:t>服务方案，至少包含洗衣机的数量、品牌、规格、功能、新旧占比，同时提供产品图片。</w:t>
            </w:r>
          </w:p>
        </w:tc>
        <w:tc>
          <w:tcPr>
            <w:tcW w:w="4532" w:type="dxa"/>
            <w:gridSpan w:val="4"/>
            <w:tcBorders>
              <w:top w:val="single" w:color="auto" w:sz="4" w:space="0"/>
              <w:left w:val="single" w:color="auto" w:sz="4" w:space="0"/>
              <w:bottom w:val="single" w:color="auto" w:sz="4" w:space="0"/>
              <w:right w:val="single" w:color="auto" w:sz="4" w:space="0"/>
            </w:tcBorders>
          </w:tcPr>
          <w:p>
            <w:pPr>
              <w:rPr>
                <w:rFonts w:hint="eastAsia" w:ascii="宋体" w:hAnsi="宋体" w:cs="宋体"/>
                <w:sz w:val="24"/>
              </w:rPr>
            </w:pPr>
            <w:r>
              <w:rPr>
                <w:rFonts w:hint="eastAsia" w:ascii="宋体" w:hAnsi="宋体" w:cs="宋体"/>
                <w:sz w:val="24"/>
              </w:rPr>
              <w:t>全部为新</w:t>
            </w:r>
            <w:r>
              <w:rPr>
                <w:rFonts w:ascii="宋体" w:hAnsi="宋体" w:cs="宋体"/>
                <w:sz w:val="24"/>
              </w:rPr>
              <w:t>机器</w:t>
            </w:r>
            <w:r>
              <w:rPr>
                <w:rFonts w:hint="eastAsia" w:ascii="宋体" w:hAnsi="宋体" w:cs="宋体"/>
                <w:sz w:val="24"/>
              </w:rPr>
              <w:t>（原包装未拆封）</w:t>
            </w:r>
          </w:p>
        </w:tc>
        <w:tc>
          <w:tcPr>
            <w:tcW w:w="12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sz w:val="24"/>
              </w:rPr>
            </w:pPr>
            <w:r>
              <w:rPr>
                <w:rFonts w:hint="eastAsia" w:ascii="宋体" w:hAnsi="宋体" w:cs="宋体"/>
                <w:sz w:val="24"/>
              </w:rPr>
              <w:t>30</w:t>
            </w:r>
          </w:p>
        </w:tc>
        <w:tc>
          <w:tcPr>
            <w:tcW w:w="900" w:type="dxa"/>
            <w:gridSpan w:val="2"/>
            <w:vMerge w:val="restart"/>
            <w:tcBorders>
              <w:top w:val="single" w:color="auto" w:sz="4" w:space="0"/>
              <w:left w:val="single" w:color="auto" w:sz="4" w:space="0"/>
              <w:right w:val="single" w:color="auto" w:sz="4" w:space="0"/>
            </w:tcBorders>
            <w:vAlign w:val="center"/>
          </w:tcPr>
          <w:p>
            <w:pPr>
              <w:jc w:val="center"/>
              <w:rPr>
                <w:rFonts w:hint="eastAsia" w:ascii="宋体" w:hAnsi="宋体" w:cs="宋体"/>
                <w:sz w:val="24"/>
              </w:rPr>
            </w:pPr>
            <w:r>
              <w:rPr>
                <w:rFonts w:hint="eastAsia" w:ascii="宋体" w:hAnsi="宋体" w:cs="宋体"/>
                <w:sz w:val="24"/>
              </w:rPr>
              <w:t>30</w:t>
            </w:r>
            <w:r>
              <w:rPr>
                <w:rFonts w:ascii="宋体" w:hAnsi="宋体" w:cs="宋体"/>
                <w:sz w:val="24"/>
              </w:rPr>
              <w:t>%</w:t>
            </w:r>
          </w:p>
        </w:tc>
      </w:tr>
      <w:tr>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108" w:type="dxa"/>
            <w:bottom w:w="0" w:type="dxa"/>
            <w:right w:w="108" w:type="dxa"/>
          </w:tblCellMar>
        </w:tblPrEx>
        <w:trPr>
          <w:cantSplit/>
          <w:trHeight w:val="298" w:hRule="atLeast"/>
          <w:jc w:val="center"/>
        </w:trPr>
        <w:tc>
          <w:tcPr>
            <w:tcW w:w="2815"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sz w:val="24"/>
              </w:rPr>
            </w:pPr>
          </w:p>
        </w:tc>
        <w:tc>
          <w:tcPr>
            <w:tcW w:w="4532" w:type="dxa"/>
            <w:gridSpan w:val="4"/>
            <w:tcBorders>
              <w:top w:val="single" w:color="auto" w:sz="4" w:space="0"/>
              <w:left w:val="single" w:color="auto" w:sz="4" w:space="0"/>
              <w:bottom w:val="single" w:color="auto" w:sz="4" w:space="0"/>
              <w:right w:val="single" w:color="auto" w:sz="4" w:space="0"/>
            </w:tcBorders>
          </w:tcPr>
          <w:p>
            <w:pPr>
              <w:rPr>
                <w:rFonts w:hint="eastAsia" w:ascii="宋体" w:hAnsi="宋体" w:cs="宋体"/>
                <w:sz w:val="24"/>
              </w:rPr>
            </w:pPr>
            <w:r>
              <w:rPr>
                <w:rFonts w:hint="eastAsia" w:ascii="宋体" w:hAnsi="宋体" w:cs="宋体"/>
                <w:sz w:val="24"/>
              </w:rPr>
              <w:t>三分之二为新</w:t>
            </w:r>
            <w:r>
              <w:rPr>
                <w:rFonts w:ascii="宋体" w:hAnsi="宋体" w:cs="宋体"/>
                <w:sz w:val="24"/>
              </w:rPr>
              <w:t>机器</w:t>
            </w:r>
          </w:p>
        </w:tc>
        <w:tc>
          <w:tcPr>
            <w:tcW w:w="12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sz w:val="24"/>
              </w:rPr>
            </w:pPr>
            <w:r>
              <w:rPr>
                <w:rFonts w:hint="eastAsia" w:ascii="宋体" w:hAnsi="宋体" w:cs="宋体"/>
                <w:sz w:val="24"/>
              </w:rPr>
              <w:t>20</w:t>
            </w:r>
          </w:p>
        </w:tc>
        <w:tc>
          <w:tcPr>
            <w:tcW w:w="900" w:type="dxa"/>
            <w:gridSpan w:val="2"/>
            <w:vMerge w:val="continue"/>
            <w:tcBorders>
              <w:left w:val="single" w:color="auto" w:sz="4" w:space="0"/>
              <w:right w:val="single" w:color="auto" w:sz="4" w:space="0"/>
            </w:tcBorders>
            <w:vAlign w:val="center"/>
          </w:tcPr>
          <w:p>
            <w:pPr>
              <w:rPr>
                <w:rFonts w:ascii="宋体" w:hAnsi="宋体"/>
                <w:sz w:val="24"/>
              </w:rPr>
            </w:pPr>
          </w:p>
        </w:tc>
      </w:tr>
      <w:tr>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108" w:type="dxa"/>
            <w:bottom w:w="0" w:type="dxa"/>
            <w:right w:w="108" w:type="dxa"/>
          </w:tblCellMar>
        </w:tblPrEx>
        <w:trPr>
          <w:cantSplit/>
          <w:trHeight w:val="298" w:hRule="atLeast"/>
          <w:jc w:val="center"/>
        </w:trPr>
        <w:tc>
          <w:tcPr>
            <w:tcW w:w="2815"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sz w:val="24"/>
              </w:rPr>
            </w:pPr>
          </w:p>
        </w:tc>
        <w:tc>
          <w:tcPr>
            <w:tcW w:w="4532" w:type="dxa"/>
            <w:gridSpan w:val="4"/>
            <w:tcBorders>
              <w:top w:val="single" w:color="auto" w:sz="4" w:space="0"/>
              <w:left w:val="single" w:color="auto" w:sz="4" w:space="0"/>
              <w:bottom w:val="single" w:color="auto" w:sz="4" w:space="0"/>
              <w:right w:val="single" w:color="auto" w:sz="4" w:space="0"/>
            </w:tcBorders>
          </w:tcPr>
          <w:p>
            <w:pPr>
              <w:rPr>
                <w:rFonts w:hint="eastAsia" w:ascii="宋体" w:hAnsi="宋体" w:cs="宋体"/>
                <w:sz w:val="24"/>
              </w:rPr>
            </w:pPr>
            <w:r>
              <w:rPr>
                <w:rFonts w:hint="eastAsia" w:ascii="宋体" w:hAnsi="宋体" w:cs="宋体"/>
                <w:sz w:val="24"/>
              </w:rPr>
              <w:t>一半为新</w:t>
            </w:r>
            <w:r>
              <w:rPr>
                <w:rFonts w:ascii="宋体" w:hAnsi="宋体" w:cs="宋体"/>
                <w:sz w:val="24"/>
              </w:rPr>
              <w:t>机器</w:t>
            </w:r>
          </w:p>
        </w:tc>
        <w:tc>
          <w:tcPr>
            <w:tcW w:w="12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sz w:val="24"/>
              </w:rPr>
            </w:pPr>
            <w:r>
              <w:rPr>
                <w:rFonts w:hint="eastAsia" w:ascii="宋体" w:hAnsi="宋体" w:cs="宋体"/>
                <w:sz w:val="24"/>
              </w:rPr>
              <w:t>15</w:t>
            </w:r>
          </w:p>
        </w:tc>
        <w:tc>
          <w:tcPr>
            <w:tcW w:w="900" w:type="dxa"/>
            <w:gridSpan w:val="2"/>
            <w:vMerge w:val="continue"/>
            <w:tcBorders>
              <w:left w:val="single" w:color="auto" w:sz="4" w:space="0"/>
              <w:bottom w:val="single" w:color="auto" w:sz="4" w:space="0"/>
              <w:right w:val="single" w:color="auto" w:sz="4" w:space="0"/>
            </w:tcBorders>
            <w:vAlign w:val="center"/>
          </w:tcPr>
          <w:p>
            <w:pPr>
              <w:rPr>
                <w:rFonts w:ascii="宋体" w:hAnsi="宋体"/>
                <w:sz w:val="24"/>
              </w:rPr>
            </w:pPr>
          </w:p>
        </w:tc>
      </w:tr>
      <w:tr>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108" w:type="dxa"/>
            <w:bottom w:w="0" w:type="dxa"/>
            <w:right w:w="108" w:type="dxa"/>
          </w:tblCellMar>
        </w:tblPrEx>
        <w:trPr>
          <w:cantSplit/>
          <w:trHeight w:val="298" w:hRule="atLeast"/>
          <w:jc w:val="center"/>
        </w:trPr>
        <w:tc>
          <w:tcPr>
            <w:tcW w:w="2815"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sz w:val="24"/>
              </w:rPr>
            </w:pPr>
          </w:p>
        </w:tc>
        <w:tc>
          <w:tcPr>
            <w:tcW w:w="4532" w:type="dxa"/>
            <w:gridSpan w:val="4"/>
            <w:tcBorders>
              <w:top w:val="single" w:color="auto" w:sz="4" w:space="0"/>
              <w:left w:val="single" w:color="auto" w:sz="4" w:space="0"/>
              <w:bottom w:val="single" w:color="auto" w:sz="4" w:space="0"/>
              <w:right w:val="single" w:color="auto" w:sz="4" w:space="0"/>
            </w:tcBorders>
          </w:tcPr>
          <w:p>
            <w:pPr>
              <w:rPr>
                <w:rFonts w:hint="eastAsia" w:ascii="宋体" w:hAnsi="宋体" w:cs="宋体"/>
                <w:sz w:val="24"/>
              </w:rPr>
            </w:pPr>
            <w:r>
              <w:rPr>
                <w:rFonts w:hint="eastAsia" w:ascii="宋体" w:hAnsi="宋体" w:cs="宋体"/>
                <w:sz w:val="24"/>
              </w:rPr>
              <w:t>全部旧</w:t>
            </w:r>
            <w:r>
              <w:rPr>
                <w:rFonts w:ascii="宋体" w:hAnsi="宋体" w:cs="宋体"/>
                <w:sz w:val="24"/>
              </w:rPr>
              <w:t>机器</w:t>
            </w:r>
          </w:p>
        </w:tc>
        <w:tc>
          <w:tcPr>
            <w:tcW w:w="12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sz w:val="24"/>
              </w:rPr>
            </w:pPr>
            <w:r>
              <w:rPr>
                <w:rFonts w:hint="eastAsia" w:ascii="宋体" w:hAnsi="宋体" w:cs="宋体"/>
                <w:sz w:val="24"/>
              </w:rPr>
              <w:t>0</w:t>
            </w:r>
          </w:p>
        </w:tc>
        <w:tc>
          <w:tcPr>
            <w:tcW w:w="900" w:type="dxa"/>
            <w:gridSpan w:val="2"/>
            <w:vMerge w:val="continue"/>
            <w:tcBorders>
              <w:left w:val="single" w:color="auto" w:sz="4" w:space="0"/>
              <w:bottom w:val="single" w:color="auto" w:sz="4" w:space="0"/>
              <w:right w:val="single" w:color="auto" w:sz="4" w:space="0"/>
            </w:tcBorders>
            <w:vAlign w:val="center"/>
          </w:tcPr>
          <w:p>
            <w:pPr>
              <w:rPr>
                <w:rFonts w:ascii="宋体" w:hAnsi="宋体"/>
                <w:sz w:val="24"/>
              </w:rPr>
            </w:pPr>
          </w:p>
        </w:tc>
      </w:tr>
      <w:tr>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108" w:type="dxa"/>
            <w:bottom w:w="0" w:type="dxa"/>
            <w:right w:w="108" w:type="dxa"/>
          </w:tblCellMar>
        </w:tblPrEx>
        <w:trPr>
          <w:cantSplit/>
          <w:trHeight w:val="275" w:hRule="atLeast"/>
          <w:jc w:val="center"/>
        </w:trPr>
        <w:tc>
          <w:tcPr>
            <w:tcW w:w="2815"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sz w:val="24"/>
              </w:rPr>
            </w:pPr>
          </w:p>
        </w:tc>
        <w:tc>
          <w:tcPr>
            <w:tcW w:w="4532" w:type="dxa"/>
            <w:gridSpan w:val="4"/>
            <w:tcBorders>
              <w:top w:val="single" w:color="auto" w:sz="4" w:space="0"/>
              <w:left w:val="single" w:color="auto" w:sz="4" w:space="0"/>
              <w:right w:val="single" w:color="auto" w:sz="4" w:space="0"/>
            </w:tcBorders>
          </w:tcPr>
          <w:p>
            <w:pPr>
              <w:rPr>
                <w:rFonts w:hint="eastAsia" w:ascii="宋体" w:hAnsi="宋体" w:cs="宋体"/>
                <w:sz w:val="24"/>
              </w:rPr>
            </w:pPr>
            <w:r>
              <w:rPr>
                <w:rFonts w:hint="eastAsia" w:ascii="宋体" w:hAnsi="宋体" w:cs="宋体"/>
                <w:sz w:val="24"/>
              </w:rPr>
              <w:t>洗衣机品牌及功能比较</w:t>
            </w:r>
          </w:p>
        </w:tc>
        <w:tc>
          <w:tcPr>
            <w:tcW w:w="1268" w:type="dxa"/>
            <w:tcBorders>
              <w:top w:val="single" w:color="auto" w:sz="4" w:space="0"/>
              <w:left w:val="single" w:color="auto" w:sz="4" w:space="0"/>
              <w:right w:val="single" w:color="auto" w:sz="4" w:space="0"/>
            </w:tcBorders>
            <w:vAlign w:val="center"/>
          </w:tcPr>
          <w:p>
            <w:pPr>
              <w:jc w:val="center"/>
              <w:rPr>
                <w:rFonts w:hint="eastAsia" w:ascii="宋体" w:hAnsi="宋体" w:cs="宋体"/>
                <w:sz w:val="24"/>
              </w:rPr>
            </w:pPr>
            <w:r>
              <w:rPr>
                <w:rFonts w:ascii="宋体" w:hAnsi="宋体" w:cs="宋体"/>
                <w:sz w:val="24"/>
              </w:rPr>
              <w:t>0</w:t>
            </w:r>
            <w:r>
              <w:rPr>
                <w:rFonts w:hint="eastAsia" w:ascii="宋体" w:hAnsi="宋体" w:cs="宋体"/>
                <w:sz w:val="24"/>
              </w:rPr>
              <w:t>-</w:t>
            </w:r>
            <w:r>
              <w:rPr>
                <w:rFonts w:ascii="宋体" w:hAnsi="宋体" w:cs="宋体"/>
                <w:sz w:val="24"/>
              </w:rPr>
              <w:t>10</w:t>
            </w:r>
          </w:p>
        </w:tc>
        <w:tc>
          <w:tcPr>
            <w:tcW w:w="900" w:type="dxa"/>
            <w:gridSpan w:val="2"/>
            <w:tcBorders>
              <w:top w:val="single" w:color="auto" w:sz="4" w:space="0"/>
              <w:left w:val="single" w:color="auto" w:sz="4" w:space="0"/>
              <w:right w:val="single" w:color="auto" w:sz="4" w:space="0"/>
            </w:tcBorders>
            <w:vAlign w:val="center"/>
          </w:tcPr>
          <w:p>
            <w:pPr>
              <w:jc w:val="center"/>
              <w:rPr>
                <w:rFonts w:ascii="宋体" w:hAnsi="宋体"/>
                <w:sz w:val="24"/>
              </w:rPr>
            </w:pPr>
            <w:r>
              <w:rPr>
                <w:rFonts w:ascii="宋体" w:hAnsi="宋体" w:cs="宋体"/>
                <w:sz w:val="24"/>
              </w:rPr>
              <w:t>10%</w:t>
            </w:r>
          </w:p>
        </w:tc>
      </w:tr>
      <w:tr>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108" w:type="dxa"/>
            <w:bottom w:w="0" w:type="dxa"/>
            <w:right w:w="108" w:type="dxa"/>
          </w:tblCellMar>
        </w:tblPrEx>
        <w:trPr>
          <w:cantSplit/>
          <w:trHeight w:val="297" w:hRule="atLeast"/>
          <w:jc w:val="center"/>
        </w:trPr>
        <w:tc>
          <w:tcPr>
            <w:tcW w:w="2815" w:type="dxa"/>
            <w:gridSpan w:val="2"/>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sz w:val="24"/>
              </w:rPr>
            </w:pPr>
            <w:r>
              <w:rPr>
                <w:rFonts w:hint="eastAsia" w:ascii="宋体" w:hAnsi="宋体" w:cs="宋体"/>
                <w:sz w:val="24"/>
              </w:rPr>
              <w:t>服务方案及承诺书</w:t>
            </w:r>
          </w:p>
        </w:tc>
        <w:tc>
          <w:tcPr>
            <w:tcW w:w="4532" w:type="dxa"/>
            <w:gridSpan w:val="4"/>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bCs/>
                <w:sz w:val="24"/>
              </w:rPr>
            </w:pPr>
            <w:r>
              <w:rPr>
                <w:rFonts w:hint="eastAsia" w:ascii="宋体" w:hAnsi="宋体" w:cs="宋体"/>
                <w:kern w:val="0"/>
                <w:sz w:val="24"/>
              </w:rPr>
              <w:t>有专门持证服务人员，服务计划详细周到，有承诺</w:t>
            </w:r>
            <w:r>
              <w:rPr>
                <w:rFonts w:ascii="宋体" w:hAnsi="宋体" w:cs="宋体"/>
                <w:kern w:val="0"/>
                <w:sz w:val="24"/>
              </w:rPr>
              <w:t>书</w:t>
            </w:r>
            <w:r>
              <w:rPr>
                <w:rFonts w:hint="eastAsia" w:ascii="宋体" w:hAnsi="宋体" w:cs="宋体"/>
                <w:kern w:val="0"/>
                <w:sz w:val="24"/>
              </w:rPr>
              <w:t>，满足并优于招标文件要求（提供服务人员相关证件）</w:t>
            </w:r>
          </w:p>
        </w:tc>
        <w:tc>
          <w:tcPr>
            <w:tcW w:w="126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5</w:t>
            </w:r>
          </w:p>
        </w:tc>
        <w:tc>
          <w:tcPr>
            <w:tcW w:w="900" w:type="dxa"/>
            <w:gridSpan w:val="2"/>
            <w:tcBorders>
              <w:top w:val="single" w:color="auto" w:sz="4" w:space="0"/>
              <w:left w:val="single" w:color="auto" w:sz="4" w:space="0"/>
              <w:right w:val="single" w:color="auto" w:sz="4" w:space="0"/>
            </w:tcBorders>
            <w:vAlign w:val="center"/>
          </w:tcPr>
          <w:p>
            <w:pPr>
              <w:jc w:val="center"/>
              <w:rPr>
                <w:rFonts w:hint="eastAsia" w:ascii="宋体" w:hAnsi="宋体" w:cs="宋体"/>
                <w:sz w:val="24"/>
              </w:rPr>
            </w:pPr>
            <w:r>
              <w:rPr>
                <w:rFonts w:hint="eastAsia" w:ascii="宋体" w:hAnsi="宋体" w:cs="宋体"/>
                <w:sz w:val="24"/>
              </w:rPr>
              <w:t>5</w:t>
            </w:r>
            <w:r>
              <w:rPr>
                <w:rFonts w:ascii="宋体" w:hAnsi="宋体" w:cs="宋体"/>
                <w:sz w:val="24"/>
              </w:rPr>
              <w:t>%</w:t>
            </w:r>
          </w:p>
        </w:tc>
      </w:tr>
      <w:tr>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108" w:type="dxa"/>
            <w:bottom w:w="0" w:type="dxa"/>
            <w:right w:w="108" w:type="dxa"/>
          </w:tblCellMar>
        </w:tblPrEx>
        <w:trPr>
          <w:cantSplit/>
          <w:trHeight w:val="264" w:hRule="atLeast"/>
          <w:jc w:val="center"/>
        </w:trPr>
        <w:tc>
          <w:tcPr>
            <w:tcW w:w="2815"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sz w:val="24"/>
              </w:rPr>
            </w:pPr>
          </w:p>
        </w:tc>
        <w:tc>
          <w:tcPr>
            <w:tcW w:w="4532" w:type="dxa"/>
            <w:gridSpan w:val="4"/>
            <w:tcBorders>
              <w:top w:val="single" w:color="auto" w:sz="4" w:space="0"/>
              <w:left w:val="single" w:color="auto" w:sz="2" w:space="0"/>
              <w:bottom w:val="single" w:color="auto" w:sz="4" w:space="0"/>
              <w:right w:val="single" w:color="auto" w:sz="2" w:space="0"/>
            </w:tcBorders>
            <w:vAlign w:val="center"/>
          </w:tcPr>
          <w:p>
            <w:pPr>
              <w:rPr>
                <w:rFonts w:hint="eastAsia" w:ascii="宋体" w:hAnsi="宋体" w:cs="宋体"/>
                <w:sz w:val="24"/>
              </w:rPr>
            </w:pPr>
            <w:r>
              <w:rPr>
                <w:rFonts w:hint="eastAsia" w:ascii="宋体" w:hAnsi="宋体" w:cs="宋体"/>
                <w:kern w:val="0"/>
                <w:sz w:val="24"/>
              </w:rPr>
              <w:t>未明确专人服务、方案较差，低于招标文件要求</w:t>
            </w:r>
          </w:p>
        </w:tc>
        <w:tc>
          <w:tcPr>
            <w:tcW w:w="1268" w:type="dxa"/>
            <w:tcBorders>
              <w:top w:val="single" w:color="auto" w:sz="4" w:space="0"/>
              <w:left w:val="single" w:color="auto" w:sz="4" w:space="0"/>
              <w:bottom w:val="single" w:color="auto" w:sz="4" w:space="0"/>
              <w:right w:val="single" w:color="auto" w:sz="2" w:space="0"/>
            </w:tcBorders>
            <w:vAlign w:val="center"/>
          </w:tcPr>
          <w:p>
            <w:pPr>
              <w:jc w:val="center"/>
              <w:rPr>
                <w:rFonts w:hint="eastAsia" w:ascii="宋体" w:hAnsi="宋体" w:cs="宋体"/>
                <w:sz w:val="24"/>
              </w:rPr>
            </w:pPr>
            <w:r>
              <w:rPr>
                <w:rFonts w:hint="eastAsia" w:ascii="宋体" w:hAnsi="宋体" w:cs="宋体"/>
                <w:sz w:val="24"/>
              </w:rPr>
              <w:t>0</w:t>
            </w:r>
          </w:p>
        </w:tc>
        <w:tc>
          <w:tcPr>
            <w:tcW w:w="900" w:type="dxa"/>
            <w:gridSpan w:val="2"/>
            <w:tcBorders>
              <w:left w:val="single" w:color="auto" w:sz="4" w:space="0"/>
              <w:right w:val="single" w:color="auto" w:sz="4" w:space="0"/>
            </w:tcBorders>
            <w:vAlign w:val="center"/>
          </w:tcPr>
          <w:p>
            <w:pPr>
              <w:jc w:val="center"/>
              <w:rPr>
                <w:rFonts w:ascii="宋体" w:hAnsi="宋体"/>
                <w:sz w:val="24"/>
              </w:rPr>
            </w:pPr>
          </w:p>
        </w:tc>
      </w:tr>
      <w:tr>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108" w:type="dxa"/>
            <w:bottom w:w="0" w:type="dxa"/>
            <w:right w:w="108" w:type="dxa"/>
          </w:tblCellMar>
        </w:tblPrEx>
        <w:trPr>
          <w:cantSplit/>
          <w:trHeight w:val="257" w:hRule="atLeast"/>
          <w:jc w:val="center"/>
        </w:trPr>
        <w:tc>
          <w:tcPr>
            <w:tcW w:w="2815"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sz w:val="24"/>
              </w:rPr>
            </w:pPr>
          </w:p>
        </w:tc>
        <w:tc>
          <w:tcPr>
            <w:tcW w:w="4532" w:type="dxa"/>
            <w:gridSpan w:val="4"/>
            <w:tcBorders>
              <w:top w:val="single" w:color="auto" w:sz="4" w:space="0"/>
              <w:left w:val="single" w:color="auto" w:sz="2" w:space="0"/>
              <w:bottom w:val="single" w:color="auto" w:sz="2" w:space="0"/>
              <w:right w:val="single" w:color="auto" w:sz="2" w:space="0"/>
            </w:tcBorders>
            <w:vAlign w:val="center"/>
          </w:tcPr>
          <w:p>
            <w:pPr>
              <w:rPr>
                <w:rFonts w:hint="eastAsia" w:ascii="宋体" w:hAnsi="宋体" w:cs="宋体"/>
                <w:sz w:val="24"/>
              </w:rPr>
            </w:pPr>
            <w:r>
              <w:rPr>
                <w:rFonts w:hint="eastAsia" w:ascii="宋体" w:hAnsi="宋体" w:cs="宋体"/>
                <w:sz w:val="24"/>
              </w:rPr>
              <w:t>洗衣房服务装修方案合理完备，隔板台面材料、洗衣机底座、整体效果效果图等有明确内容</w:t>
            </w:r>
          </w:p>
        </w:tc>
        <w:tc>
          <w:tcPr>
            <w:tcW w:w="1268" w:type="dxa"/>
            <w:tcBorders>
              <w:top w:val="single" w:color="auto" w:sz="4" w:space="0"/>
              <w:left w:val="single" w:color="auto" w:sz="4" w:space="0"/>
              <w:bottom w:val="single" w:color="auto" w:sz="2" w:space="0"/>
              <w:right w:val="single" w:color="auto" w:sz="2" w:space="0"/>
            </w:tcBorders>
            <w:vAlign w:val="center"/>
          </w:tcPr>
          <w:p>
            <w:pPr>
              <w:jc w:val="center"/>
              <w:rPr>
                <w:rFonts w:hint="eastAsia" w:ascii="宋体" w:hAnsi="宋体" w:cs="宋体"/>
                <w:sz w:val="24"/>
              </w:rPr>
            </w:pPr>
            <w:r>
              <w:rPr>
                <w:rFonts w:hint="eastAsia" w:ascii="宋体" w:hAnsi="宋体" w:cs="宋体"/>
                <w:sz w:val="24"/>
              </w:rPr>
              <w:t>0-</w:t>
            </w:r>
            <w:r>
              <w:rPr>
                <w:rFonts w:ascii="宋体" w:hAnsi="宋体" w:cs="宋体"/>
                <w:sz w:val="24"/>
              </w:rPr>
              <w:t>20</w:t>
            </w:r>
          </w:p>
        </w:tc>
        <w:tc>
          <w:tcPr>
            <w:tcW w:w="900" w:type="dxa"/>
            <w:gridSpan w:val="2"/>
            <w:tcBorders>
              <w:left w:val="single" w:color="auto" w:sz="4" w:space="0"/>
              <w:bottom w:val="single" w:color="auto" w:sz="2" w:space="0"/>
              <w:right w:val="single" w:color="auto" w:sz="4" w:space="0"/>
            </w:tcBorders>
            <w:vAlign w:val="center"/>
          </w:tcPr>
          <w:p>
            <w:pPr>
              <w:jc w:val="center"/>
              <w:rPr>
                <w:rFonts w:ascii="宋体" w:hAnsi="宋体"/>
                <w:sz w:val="24"/>
              </w:rPr>
            </w:pPr>
            <w:r>
              <w:rPr>
                <w:rFonts w:ascii="宋体" w:hAnsi="宋体" w:cs="宋体"/>
                <w:sz w:val="24"/>
              </w:rPr>
              <w:t>20%</w:t>
            </w:r>
          </w:p>
        </w:tc>
      </w:tr>
      <w:tr>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108" w:type="dxa"/>
            <w:bottom w:w="0" w:type="dxa"/>
            <w:right w:w="108" w:type="dxa"/>
          </w:tblCellMar>
        </w:tblPrEx>
        <w:trPr>
          <w:trHeight w:val="316" w:hRule="atLeast"/>
          <w:jc w:val="center"/>
        </w:trPr>
        <w:tc>
          <w:tcPr>
            <w:tcW w:w="2815" w:type="dxa"/>
            <w:gridSpan w:val="2"/>
            <w:tcBorders>
              <w:top w:val="single" w:color="auto" w:sz="2" w:space="0"/>
              <w:left w:val="single" w:color="auto" w:sz="2" w:space="0"/>
              <w:bottom w:val="single" w:color="auto" w:sz="2" w:space="0"/>
              <w:right w:val="single" w:color="auto" w:sz="4" w:space="0"/>
            </w:tcBorders>
            <w:vAlign w:val="center"/>
          </w:tcPr>
          <w:p>
            <w:pPr>
              <w:jc w:val="center"/>
              <w:rPr>
                <w:rFonts w:hint="eastAsia" w:ascii="宋体" w:hAnsi="宋体" w:cs="宋体"/>
                <w:b/>
                <w:sz w:val="24"/>
              </w:rPr>
            </w:pPr>
            <w:r>
              <w:rPr>
                <w:rFonts w:hint="eastAsia" w:ascii="宋体" w:hAnsi="宋体" w:cs="宋体"/>
                <w:b/>
                <w:sz w:val="24"/>
              </w:rPr>
              <w:t>合    计</w:t>
            </w:r>
          </w:p>
        </w:tc>
        <w:tc>
          <w:tcPr>
            <w:tcW w:w="4532" w:type="dxa"/>
            <w:gridSpan w:val="4"/>
            <w:tcBorders>
              <w:top w:val="single" w:color="auto" w:sz="2" w:space="0"/>
              <w:left w:val="single" w:color="auto" w:sz="2" w:space="0"/>
              <w:bottom w:val="single" w:color="auto" w:sz="2" w:space="0"/>
              <w:right w:val="single" w:color="auto" w:sz="4" w:space="0"/>
            </w:tcBorders>
            <w:vAlign w:val="center"/>
          </w:tcPr>
          <w:p>
            <w:pPr>
              <w:jc w:val="center"/>
              <w:rPr>
                <w:rFonts w:hint="eastAsia" w:ascii="宋体" w:hAnsi="宋体" w:cs="宋体"/>
                <w:b/>
                <w:sz w:val="24"/>
              </w:rPr>
            </w:pPr>
            <w:r>
              <w:rPr>
                <w:rFonts w:ascii="宋体" w:hAnsi="宋体" w:cs="宋体"/>
                <w:b/>
                <w:sz w:val="24"/>
              </w:rPr>
              <w:t>65</w:t>
            </w:r>
          </w:p>
        </w:tc>
        <w:tc>
          <w:tcPr>
            <w:tcW w:w="1268" w:type="dxa"/>
            <w:tcBorders>
              <w:top w:val="single" w:color="auto" w:sz="2" w:space="0"/>
              <w:left w:val="single" w:color="auto" w:sz="4" w:space="0"/>
              <w:bottom w:val="single" w:color="auto" w:sz="2" w:space="0"/>
              <w:right w:val="single" w:color="auto" w:sz="2" w:space="0"/>
            </w:tcBorders>
            <w:vAlign w:val="center"/>
          </w:tcPr>
          <w:p>
            <w:pPr>
              <w:jc w:val="center"/>
              <w:rPr>
                <w:rFonts w:hint="eastAsia" w:ascii="宋体" w:hAnsi="宋体" w:cs="宋体"/>
                <w:b/>
                <w:sz w:val="24"/>
              </w:rPr>
            </w:pPr>
          </w:p>
        </w:tc>
        <w:tc>
          <w:tcPr>
            <w:tcW w:w="900" w:type="dxa"/>
            <w:gridSpan w:val="2"/>
            <w:tcBorders>
              <w:top w:val="single" w:color="auto" w:sz="2" w:space="0"/>
              <w:left w:val="single" w:color="auto" w:sz="2" w:space="0"/>
              <w:bottom w:val="single" w:color="auto" w:sz="2" w:space="0"/>
              <w:right w:val="single" w:color="auto" w:sz="4" w:space="0"/>
            </w:tcBorders>
            <w:vAlign w:val="center"/>
          </w:tcPr>
          <w:p>
            <w:pPr>
              <w:jc w:val="center"/>
              <w:rPr>
                <w:rFonts w:hint="eastAsia" w:ascii="宋体" w:hAnsi="宋体" w:cs="宋体"/>
                <w:b/>
                <w:sz w:val="24"/>
              </w:rPr>
            </w:pPr>
            <w:r>
              <w:rPr>
                <w:rFonts w:ascii="宋体" w:hAnsi="宋体" w:cs="宋体"/>
                <w:b/>
                <w:sz w:val="24"/>
              </w:rPr>
              <w:t>65%</w:t>
            </w:r>
          </w:p>
        </w:tc>
      </w:tr>
      <w:tr>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108" w:type="dxa"/>
            <w:bottom w:w="0" w:type="dxa"/>
            <w:right w:w="108" w:type="dxa"/>
          </w:tblCellMar>
        </w:tblPrEx>
        <w:trPr>
          <w:trHeight w:val="316" w:hRule="atLeast"/>
          <w:jc w:val="center"/>
        </w:trPr>
        <w:tc>
          <w:tcPr>
            <w:tcW w:w="9515" w:type="dxa"/>
            <w:gridSpan w:val="9"/>
            <w:tcBorders>
              <w:top w:val="single" w:color="auto" w:sz="2" w:space="0"/>
              <w:left w:val="single" w:color="auto" w:sz="2" w:space="0"/>
              <w:bottom w:val="single" w:color="auto" w:sz="4" w:space="0"/>
              <w:right w:val="single" w:color="auto" w:sz="4" w:space="0"/>
            </w:tcBorders>
            <w:vAlign w:val="center"/>
          </w:tcPr>
          <w:p>
            <w:pPr>
              <w:jc w:val="center"/>
              <w:rPr>
                <w:rFonts w:hint="eastAsia" w:ascii="宋体" w:hAnsi="宋体" w:cs="宋体"/>
                <w:b/>
                <w:sz w:val="24"/>
              </w:rPr>
            </w:pPr>
            <w:r>
              <w:rPr>
                <w:rFonts w:hint="eastAsia" w:ascii="宋体" w:hAnsi="宋体" w:cs="宋体"/>
                <w:b/>
                <w:sz w:val="24"/>
              </w:rPr>
              <w:t>商务评分（</w:t>
            </w:r>
            <w:r>
              <w:rPr>
                <w:rFonts w:ascii="宋体" w:hAnsi="宋体" w:cs="宋体"/>
                <w:b/>
                <w:sz w:val="24"/>
              </w:rPr>
              <w:t>5</w:t>
            </w:r>
            <w:r>
              <w:rPr>
                <w:rFonts w:hint="eastAsia" w:ascii="宋体" w:hAnsi="宋体" w:cs="宋体"/>
                <w:b/>
                <w:sz w:val="24"/>
              </w:rPr>
              <w:t>分）</w:t>
            </w:r>
          </w:p>
        </w:tc>
      </w:tr>
      <w:tr>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108" w:type="dxa"/>
            <w:bottom w:w="0" w:type="dxa"/>
            <w:right w:w="108" w:type="dxa"/>
          </w:tblCellMar>
        </w:tblPrEx>
        <w:trPr>
          <w:trHeight w:val="316" w:hRule="atLeast"/>
          <w:jc w:val="center"/>
        </w:trPr>
        <w:tc>
          <w:tcPr>
            <w:tcW w:w="7347" w:type="dxa"/>
            <w:gridSpan w:val="6"/>
            <w:tcBorders>
              <w:top w:val="single" w:color="auto" w:sz="4" w:space="0"/>
              <w:left w:val="single" w:color="auto" w:sz="2" w:space="0"/>
              <w:bottom w:val="nil"/>
              <w:right w:val="single" w:color="auto" w:sz="4" w:space="0"/>
            </w:tcBorders>
            <w:vAlign w:val="center"/>
          </w:tcPr>
          <w:p>
            <w:pPr>
              <w:jc w:val="center"/>
              <w:rPr>
                <w:rFonts w:hint="eastAsia" w:ascii="宋体" w:hAnsi="宋体" w:cs="宋体"/>
                <w:sz w:val="24"/>
              </w:rPr>
            </w:pPr>
            <w:r>
              <w:rPr>
                <w:rFonts w:hint="eastAsia" w:ascii="宋体" w:hAnsi="宋体" w:cs="宋体"/>
                <w:sz w:val="24"/>
              </w:rPr>
              <w:t>商务因素</w:t>
            </w:r>
          </w:p>
        </w:tc>
        <w:tc>
          <w:tcPr>
            <w:tcW w:w="1268" w:type="dxa"/>
            <w:tcBorders>
              <w:top w:val="single" w:color="auto" w:sz="4" w:space="0"/>
              <w:left w:val="single" w:color="auto" w:sz="4" w:space="0"/>
              <w:bottom w:val="nil"/>
              <w:right w:val="single" w:color="auto" w:sz="2" w:space="0"/>
            </w:tcBorders>
            <w:vAlign w:val="center"/>
          </w:tcPr>
          <w:p>
            <w:pPr>
              <w:jc w:val="center"/>
              <w:rPr>
                <w:rFonts w:hint="eastAsia" w:ascii="宋体" w:hAnsi="宋体" w:cs="宋体"/>
                <w:sz w:val="24"/>
              </w:rPr>
            </w:pPr>
            <w:r>
              <w:rPr>
                <w:rFonts w:hint="eastAsia" w:ascii="宋体" w:hAnsi="宋体" w:cs="宋体"/>
                <w:sz w:val="24"/>
              </w:rPr>
              <w:t>分值</w:t>
            </w:r>
          </w:p>
        </w:tc>
        <w:tc>
          <w:tcPr>
            <w:tcW w:w="900" w:type="dxa"/>
            <w:gridSpan w:val="2"/>
            <w:tcBorders>
              <w:top w:val="single" w:color="auto" w:sz="4" w:space="0"/>
              <w:left w:val="single" w:color="auto" w:sz="2" w:space="0"/>
              <w:bottom w:val="nil"/>
              <w:right w:val="single" w:color="auto" w:sz="4" w:space="0"/>
            </w:tcBorders>
            <w:vAlign w:val="center"/>
          </w:tcPr>
          <w:p>
            <w:pPr>
              <w:jc w:val="center"/>
              <w:rPr>
                <w:rFonts w:hint="eastAsia" w:ascii="宋体" w:hAnsi="宋体" w:cs="宋体"/>
                <w:sz w:val="24"/>
              </w:rPr>
            </w:pPr>
            <w:r>
              <w:rPr>
                <w:rFonts w:hint="eastAsia" w:ascii="宋体" w:hAnsi="宋体" w:cs="宋体"/>
                <w:sz w:val="24"/>
              </w:rPr>
              <w:t>权重</w:t>
            </w:r>
          </w:p>
        </w:tc>
      </w:tr>
      <w:tr>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108" w:type="dxa"/>
            <w:bottom w:w="0" w:type="dxa"/>
            <w:right w:w="108" w:type="dxa"/>
          </w:tblCellMar>
        </w:tblPrEx>
        <w:trPr>
          <w:trHeight w:val="316" w:hRule="atLeast"/>
          <w:jc w:val="center"/>
        </w:trPr>
        <w:tc>
          <w:tcPr>
            <w:tcW w:w="1775" w:type="dxa"/>
            <w:vMerge w:val="restart"/>
            <w:tcBorders>
              <w:top w:val="single" w:color="auto" w:sz="2" w:space="0"/>
              <w:left w:val="single" w:color="auto" w:sz="2" w:space="0"/>
              <w:bottom w:val="nil"/>
              <w:right w:val="single" w:color="auto" w:sz="4" w:space="0"/>
            </w:tcBorders>
            <w:vAlign w:val="center"/>
          </w:tcPr>
          <w:p>
            <w:pPr>
              <w:jc w:val="center"/>
              <w:rPr>
                <w:rFonts w:hint="eastAsia" w:ascii="宋体" w:hAnsi="宋体" w:cs="宋体"/>
                <w:sz w:val="24"/>
              </w:rPr>
            </w:pPr>
            <w:r>
              <w:rPr>
                <w:rFonts w:hint="eastAsia" w:cs="宋体"/>
                <w:sz w:val="24"/>
                <w:lang w:eastAsia="zh-CN"/>
              </w:rPr>
              <w:t>响应人</w:t>
            </w:r>
            <w:r>
              <w:rPr>
                <w:rFonts w:hint="eastAsia" w:ascii="宋体" w:hAnsi="宋体" w:cs="宋体"/>
                <w:sz w:val="24"/>
              </w:rPr>
              <w:t>业绩</w:t>
            </w:r>
          </w:p>
        </w:tc>
        <w:tc>
          <w:tcPr>
            <w:tcW w:w="2937" w:type="dxa"/>
            <w:gridSpan w:val="3"/>
            <w:vMerge w:val="restart"/>
            <w:tcBorders>
              <w:top w:val="single" w:color="auto" w:sz="4" w:space="0"/>
              <w:left w:val="single" w:color="auto" w:sz="2" w:space="0"/>
              <w:bottom w:val="single" w:color="auto" w:sz="4" w:space="0"/>
              <w:right w:val="single" w:color="auto" w:sz="4" w:space="0"/>
            </w:tcBorders>
            <w:vAlign w:val="center"/>
          </w:tcPr>
          <w:p>
            <w:pPr>
              <w:rPr>
                <w:rFonts w:hint="eastAsia" w:ascii="宋体" w:hAnsi="宋体" w:cs="宋体"/>
                <w:sz w:val="24"/>
              </w:rPr>
            </w:pPr>
            <w:r>
              <w:rPr>
                <w:rFonts w:hint="eastAsia" w:ascii="宋体" w:hAnsi="宋体" w:cs="宋体"/>
                <w:sz w:val="24"/>
              </w:rPr>
              <w:t>对投标人提供的业绩证明等比较评价</w:t>
            </w:r>
          </w:p>
        </w:tc>
        <w:tc>
          <w:tcPr>
            <w:tcW w:w="2635" w:type="dxa"/>
            <w:gridSpan w:val="2"/>
            <w:tcBorders>
              <w:top w:val="single" w:color="auto" w:sz="4" w:space="0"/>
              <w:left w:val="single" w:color="auto" w:sz="2" w:space="0"/>
              <w:bottom w:val="single" w:color="auto" w:sz="4" w:space="0"/>
              <w:right w:val="single" w:color="auto" w:sz="4" w:space="0"/>
            </w:tcBorders>
            <w:vAlign w:val="center"/>
          </w:tcPr>
          <w:p>
            <w:pPr>
              <w:jc w:val="center"/>
              <w:rPr>
                <w:rFonts w:hint="eastAsia" w:ascii="宋体" w:hAnsi="宋体" w:cs="宋体"/>
                <w:sz w:val="24"/>
              </w:rPr>
            </w:pPr>
            <w:r>
              <w:rPr>
                <w:rFonts w:hint="eastAsia" w:ascii="宋体" w:hAnsi="宋体" w:cs="宋体"/>
                <w:sz w:val="24"/>
              </w:rPr>
              <w:t>学生公寓洗衣服务业绩</w:t>
            </w:r>
          </w:p>
        </w:tc>
        <w:tc>
          <w:tcPr>
            <w:tcW w:w="1268" w:type="dxa"/>
            <w:tcBorders>
              <w:top w:val="single" w:color="auto" w:sz="2" w:space="0"/>
              <w:left w:val="single" w:color="auto" w:sz="4" w:space="0"/>
              <w:bottom w:val="single" w:color="auto" w:sz="4" w:space="0"/>
              <w:right w:val="single" w:color="auto" w:sz="2" w:space="0"/>
            </w:tcBorders>
            <w:vAlign w:val="center"/>
          </w:tcPr>
          <w:p>
            <w:pPr>
              <w:jc w:val="center"/>
              <w:rPr>
                <w:rFonts w:hint="eastAsia" w:ascii="宋体" w:hAnsi="宋体" w:cs="宋体"/>
                <w:sz w:val="24"/>
              </w:rPr>
            </w:pPr>
            <w:r>
              <w:rPr>
                <w:rFonts w:ascii="宋体" w:hAnsi="宋体" w:cs="宋体"/>
                <w:sz w:val="24"/>
              </w:rPr>
              <w:t>5</w:t>
            </w:r>
          </w:p>
        </w:tc>
        <w:tc>
          <w:tcPr>
            <w:tcW w:w="900" w:type="dxa"/>
            <w:gridSpan w:val="2"/>
            <w:vMerge w:val="restart"/>
            <w:tcBorders>
              <w:top w:val="single" w:color="auto" w:sz="2" w:space="0"/>
              <w:left w:val="single" w:color="auto" w:sz="2" w:space="0"/>
              <w:bottom w:val="nil"/>
              <w:right w:val="single" w:color="auto" w:sz="4" w:space="0"/>
            </w:tcBorders>
            <w:vAlign w:val="center"/>
          </w:tcPr>
          <w:p>
            <w:pPr>
              <w:jc w:val="center"/>
              <w:rPr>
                <w:rFonts w:hint="eastAsia" w:ascii="宋体" w:hAnsi="宋体" w:cs="宋体"/>
                <w:sz w:val="24"/>
              </w:rPr>
            </w:pPr>
            <w:r>
              <w:rPr>
                <w:rFonts w:ascii="宋体" w:hAnsi="宋体" w:cs="宋体"/>
                <w:sz w:val="24"/>
              </w:rPr>
              <w:t>5%</w:t>
            </w:r>
          </w:p>
        </w:tc>
      </w:tr>
      <w:tr>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108" w:type="dxa"/>
            <w:bottom w:w="0" w:type="dxa"/>
            <w:right w:w="108" w:type="dxa"/>
          </w:tblCellMar>
        </w:tblPrEx>
        <w:trPr>
          <w:trHeight w:val="316" w:hRule="atLeast"/>
          <w:jc w:val="center"/>
        </w:trPr>
        <w:tc>
          <w:tcPr>
            <w:tcW w:w="1775" w:type="dxa"/>
            <w:vMerge w:val="continue"/>
            <w:tcBorders>
              <w:top w:val="single" w:color="auto" w:sz="2" w:space="0"/>
              <w:left w:val="single" w:color="auto" w:sz="2" w:space="0"/>
              <w:bottom w:val="nil"/>
              <w:right w:val="single" w:color="auto" w:sz="4" w:space="0"/>
            </w:tcBorders>
            <w:vAlign w:val="center"/>
          </w:tcPr>
          <w:p>
            <w:pPr>
              <w:rPr>
                <w:rFonts w:ascii="宋体" w:hAnsi="宋体"/>
                <w:sz w:val="24"/>
              </w:rPr>
            </w:pPr>
          </w:p>
        </w:tc>
        <w:tc>
          <w:tcPr>
            <w:tcW w:w="2937" w:type="dxa"/>
            <w:gridSpan w:val="3"/>
            <w:vMerge w:val="continue"/>
            <w:tcBorders>
              <w:top w:val="single" w:color="auto" w:sz="4" w:space="0"/>
              <w:left w:val="single" w:color="auto" w:sz="2" w:space="0"/>
              <w:bottom w:val="single" w:color="auto" w:sz="4" w:space="0"/>
              <w:right w:val="single" w:color="auto" w:sz="4" w:space="0"/>
            </w:tcBorders>
            <w:vAlign w:val="center"/>
          </w:tcPr>
          <w:p>
            <w:pPr>
              <w:rPr>
                <w:rFonts w:ascii="宋体" w:hAnsi="宋体"/>
                <w:sz w:val="24"/>
              </w:rPr>
            </w:pPr>
          </w:p>
        </w:tc>
        <w:tc>
          <w:tcPr>
            <w:tcW w:w="2635" w:type="dxa"/>
            <w:gridSpan w:val="2"/>
            <w:tcBorders>
              <w:top w:val="single" w:color="auto" w:sz="4" w:space="0"/>
              <w:left w:val="single" w:color="auto" w:sz="2" w:space="0"/>
              <w:bottom w:val="single" w:color="auto" w:sz="4" w:space="0"/>
              <w:right w:val="single" w:color="auto" w:sz="4" w:space="0"/>
            </w:tcBorders>
            <w:vAlign w:val="center"/>
          </w:tcPr>
          <w:p>
            <w:pPr>
              <w:jc w:val="center"/>
              <w:rPr>
                <w:rFonts w:hint="eastAsia" w:ascii="宋体" w:hAnsi="宋体" w:cs="宋体"/>
                <w:sz w:val="24"/>
              </w:rPr>
            </w:pPr>
            <w:r>
              <w:rPr>
                <w:rFonts w:hint="eastAsia" w:ascii="宋体" w:hAnsi="宋体" w:cs="宋体"/>
                <w:sz w:val="24"/>
              </w:rPr>
              <w:t>企事业单位洗衣服务</w:t>
            </w:r>
          </w:p>
        </w:tc>
        <w:tc>
          <w:tcPr>
            <w:tcW w:w="1268" w:type="dxa"/>
            <w:tcBorders>
              <w:top w:val="single" w:color="auto" w:sz="4" w:space="0"/>
              <w:left w:val="single" w:color="auto" w:sz="4" w:space="0"/>
              <w:bottom w:val="single" w:color="auto" w:sz="4" w:space="0"/>
              <w:right w:val="single" w:color="auto" w:sz="2" w:space="0"/>
            </w:tcBorders>
            <w:vAlign w:val="center"/>
          </w:tcPr>
          <w:p>
            <w:pPr>
              <w:jc w:val="center"/>
              <w:rPr>
                <w:rFonts w:hint="eastAsia" w:ascii="宋体" w:hAnsi="宋体" w:cs="宋体"/>
                <w:sz w:val="24"/>
              </w:rPr>
            </w:pPr>
            <w:r>
              <w:rPr>
                <w:rFonts w:ascii="宋体" w:hAnsi="宋体" w:cs="宋体"/>
                <w:sz w:val="24"/>
              </w:rPr>
              <w:t>2</w:t>
            </w:r>
          </w:p>
        </w:tc>
        <w:tc>
          <w:tcPr>
            <w:tcW w:w="900" w:type="dxa"/>
            <w:gridSpan w:val="2"/>
            <w:vMerge w:val="continue"/>
            <w:tcBorders>
              <w:top w:val="single" w:color="auto" w:sz="2" w:space="0"/>
              <w:left w:val="single" w:color="auto" w:sz="2" w:space="0"/>
              <w:bottom w:val="nil"/>
              <w:right w:val="single" w:color="auto" w:sz="4" w:space="0"/>
            </w:tcBorders>
            <w:vAlign w:val="center"/>
          </w:tcPr>
          <w:p>
            <w:pPr>
              <w:rPr>
                <w:rFonts w:ascii="宋体" w:hAnsi="宋体"/>
                <w:sz w:val="24"/>
              </w:rPr>
            </w:pPr>
          </w:p>
        </w:tc>
      </w:tr>
      <w:tr>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108" w:type="dxa"/>
            <w:bottom w:w="0" w:type="dxa"/>
            <w:right w:w="108" w:type="dxa"/>
          </w:tblCellMar>
        </w:tblPrEx>
        <w:trPr>
          <w:trHeight w:val="316" w:hRule="atLeast"/>
          <w:jc w:val="center"/>
        </w:trPr>
        <w:tc>
          <w:tcPr>
            <w:tcW w:w="1775" w:type="dxa"/>
            <w:vMerge w:val="continue"/>
            <w:tcBorders>
              <w:top w:val="single" w:color="auto" w:sz="2" w:space="0"/>
              <w:left w:val="single" w:color="auto" w:sz="2" w:space="0"/>
              <w:bottom w:val="nil"/>
              <w:right w:val="single" w:color="auto" w:sz="4" w:space="0"/>
            </w:tcBorders>
            <w:vAlign w:val="center"/>
          </w:tcPr>
          <w:p>
            <w:pPr>
              <w:rPr>
                <w:rFonts w:ascii="宋体" w:hAnsi="宋体"/>
                <w:sz w:val="24"/>
              </w:rPr>
            </w:pPr>
          </w:p>
        </w:tc>
        <w:tc>
          <w:tcPr>
            <w:tcW w:w="2937" w:type="dxa"/>
            <w:gridSpan w:val="3"/>
            <w:vMerge w:val="continue"/>
            <w:tcBorders>
              <w:top w:val="single" w:color="auto" w:sz="4" w:space="0"/>
              <w:left w:val="single" w:color="auto" w:sz="2" w:space="0"/>
              <w:bottom w:val="single" w:color="auto" w:sz="4" w:space="0"/>
              <w:right w:val="single" w:color="auto" w:sz="4" w:space="0"/>
            </w:tcBorders>
            <w:vAlign w:val="center"/>
          </w:tcPr>
          <w:p>
            <w:pPr>
              <w:rPr>
                <w:rFonts w:ascii="宋体" w:hAnsi="宋体"/>
                <w:sz w:val="24"/>
              </w:rPr>
            </w:pPr>
          </w:p>
        </w:tc>
        <w:tc>
          <w:tcPr>
            <w:tcW w:w="2635" w:type="dxa"/>
            <w:gridSpan w:val="2"/>
            <w:tcBorders>
              <w:top w:val="single" w:color="auto" w:sz="4" w:space="0"/>
              <w:left w:val="single" w:color="auto" w:sz="2" w:space="0"/>
              <w:bottom w:val="single" w:color="auto" w:sz="4" w:space="0"/>
              <w:right w:val="single" w:color="auto" w:sz="4" w:space="0"/>
            </w:tcBorders>
            <w:vAlign w:val="center"/>
          </w:tcPr>
          <w:p>
            <w:pPr>
              <w:jc w:val="center"/>
              <w:rPr>
                <w:rFonts w:hint="eastAsia" w:ascii="宋体" w:hAnsi="宋体" w:cs="宋体"/>
                <w:sz w:val="24"/>
              </w:rPr>
            </w:pPr>
            <w:r>
              <w:rPr>
                <w:rFonts w:hint="eastAsia" w:ascii="宋体" w:hAnsi="宋体" w:cs="宋体"/>
                <w:sz w:val="24"/>
              </w:rPr>
              <w:t>无</w:t>
            </w:r>
          </w:p>
        </w:tc>
        <w:tc>
          <w:tcPr>
            <w:tcW w:w="1268" w:type="dxa"/>
            <w:tcBorders>
              <w:top w:val="single" w:color="auto" w:sz="4" w:space="0"/>
              <w:left w:val="single" w:color="auto" w:sz="4" w:space="0"/>
              <w:bottom w:val="single" w:color="auto" w:sz="4" w:space="0"/>
              <w:right w:val="single" w:color="auto" w:sz="2" w:space="0"/>
            </w:tcBorders>
            <w:vAlign w:val="center"/>
          </w:tcPr>
          <w:p>
            <w:pPr>
              <w:jc w:val="center"/>
              <w:rPr>
                <w:rFonts w:hint="eastAsia" w:ascii="宋体" w:hAnsi="宋体" w:cs="宋体"/>
                <w:sz w:val="24"/>
              </w:rPr>
            </w:pPr>
            <w:r>
              <w:rPr>
                <w:rFonts w:ascii="宋体" w:hAnsi="宋体" w:cs="宋体"/>
                <w:sz w:val="24"/>
              </w:rPr>
              <w:t>0</w:t>
            </w:r>
          </w:p>
        </w:tc>
        <w:tc>
          <w:tcPr>
            <w:tcW w:w="900" w:type="dxa"/>
            <w:gridSpan w:val="2"/>
            <w:vMerge w:val="continue"/>
            <w:tcBorders>
              <w:top w:val="single" w:color="auto" w:sz="2" w:space="0"/>
              <w:left w:val="single" w:color="auto" w:sz="2" w:space="0"/>
              <w:bottom w:val="nil"/>
              <w:right w:val="single" w:color="auto" w:sz="4" w:space="0"/>
            </w:tcBorders>
            <w:vAlign w:val="center"/>
          </w:tcPr>
          <w:p>
            <w:pPr>
              <w:rPr>
                <w:rFonts w:ascii="宋体" w:hAnsi="宋体"/>
                <w:sz w:val="24"/>
              </w:rPr>
            </w:pPr>
          </w:p>
        </w:tc>
      </w:tr>
      <w:tr>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108" w:type="dxa"/>
            <w:bottom w:w="0" w:type="dxa"/>
            <w:right w:w="108" w:type="dxa"/>
          </w:tblCellMar>
        </w:tblPrEx>
        <w:trPr>
          <w:trHeight w:val="316" w:hRule="atLeast"/>
          <w:jc w:val="center"/>
        </w:trPr>
        <w:tc>
          <w:tcPr>
            <w:tcW w:w="1775" w:type="dxa"/>
            <w:tcBorders>
              <w:top w:val="single" w:color="auto" w:sz="2" w:space="0"/>
              <w:left w:val="single" w:color="auto" w:sz="2" w:space="0"/>
              <w:bottom w:val="single" w:color="auto" w:sz="2" w:space="0"/>
              <w:right w:val="single" w:color="auto" w:sz="4" w:space="0"/>
            </w:tcBorders>
            <w:vAlign w:val="center"/>
          </w:tcPr>
          <w:p>
            <w:pPr>
              <w:jc w:val="center"/>
              <w:rPr>
                <w:rFonts w:hint="eastAsia" w:ascii="宋体" w:hAnsi="宋体" w:cs="宋体"/>
                <w:b/>
                <w:sz w:val="24"/>
              </w:rPr>
            </w:pPr>
            <w:r>
              <w:rPr>
                <w:rFonts w:hint="eastAsia" w:ascii="宋体" w:hAnsi="宋体" w:cs="宋体"/>
                <w:b/>
                <w:sz w:val="24"/>
              </w:rPr>
              <w:t>合    计</w:t>
            </w:r>
          </w:p>
        </w:tc>
        <w:tc>
          <w:tcPr>
            <w:tcW w:w="5572" w:type="dxa"/>
            <w:gridSpan w:val="5"/>
            <w:tcBorders>
              <w:top w:val="single" w:color="auto" w:sz="2" w:space="0"/>
              <w:left w:val="single" w:color="auto" w:sz="2" w:space="0"/>
              <w:bottom w:val="single" w:color="auto" w:sz="2" w:space="0"/>
              <w:right w:val="single" w:color="auto" w:sz="4" w:space="0"/>
            </w:tcBorders>
            <w:vAlign w:val="center"/>
          </w:tcPr>
          <w:p>
            <w:pPr>
              <w:jc w:val="center"/>
              <w:rPr>
                <w:rFonts w:hint="eastAsia" w:ascii="宋体" w:hAnsi="宋体" w:cs="宋体"/>
                <w:b/>
                <w:sz w:val="24"/>
              </w:rPr>
            </w:pPr>
            <w:r>
              <w:rPr>
                <w:rFonts w:ascii="宋体" w:hAnsi="宋体" w:cs="宋体"/>
                <w:b/>
                <w:sz w:val="24"/>
              </w:rPr>
              <w:t>5</w:t>
            </w:r>
          </w:p>
        </w:tc>
        <w:tc>
          <w:tcPr>
            <w:tcW w:w="1268" w:type="dxa"/>
            <w:tcBorders>
              <w:top w:val="single" w:color="auto" w:sz="2" w:space="0"/>
              <w:left w:val="single" w:color="auto" w:sz="4" w:space="0"/>
              <w:bottom w:val="single" w:color="auto" w:sz="2" w:space="0"/>
              <w:right w:val="single" w:color="auto" w:sz="2" w:space="0"/>
            </w:tcBorders>
            <w:vAlign w:val="center"/>
          </w:tcPr>
          <w:p>
            <w:pPr>
              <w:jc w:val="center"/>
              <w:rPr>
                <w:rFonts w:hint="eastAsia" w:ascii="宋体" w:hAnsi="宋体" w:cs="宋体"/>
                <w:b/>
                <w:sz w:val="24"/>
              </w:rPr>
            </w:pPr>
          </w:p>
        </w:tc>
        <w:tc>
          <w:tcPr>
            <w:tcW w:w="900" w:type="dxa"/>
            <w:gridSpan w:val="2"/>
            <w:tcBorders>
              <w:top w:val="single" w:color="auto" w:sz="2" w:space="0"/>
              <w:left w:val="single" w:color="auto" w:sz="2" w:space="0"/>
              <w:bottom w:val="single" w:color="auto" w:sz="2" w:space="0"/>
              <w:right w:val="single" w:color="auto" w:sz="4" w:space="0"/>
            </w:tcBorders>
            <w:vAlign w:val="center"/>
          </w:tcPr>
          <w:p>
            <w:pPr>
              <w:jc w:val="center"/>
              <w:rPr>
                <w:rFonts w:hint="eastAsia" w:ascii="宋体" w:hAnsi="宋体" w:cs="宋体"/>
                <w:b/>
                <w:sz w:val="24"/>
              </w:rPr>
            </w:pPr>
            <w:r>
              <w:rPr>
                <w:rFonts w:ascii="宋体" w:hAnsi="宋体" w:cs="宋体"/>
                <w:b/>
                <w:sz w:val="24"/>
              </w:rPr>
              <w:t>5%</w:t>
            </w:r>
          </w:p>
        </w:tc>
      </w:tr>
      <w:tr>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108" w:type="dxa"/>
            <w:bottom w:w="0" w:type="dxa"/>
            <w:right w:w="108" w:type="dxa"/>
          </w:tblCellMar>
        </w:tblPrEx>
        <w:trPr>
          <w:trHeight w:val="544" w:hRule="atLeast"/>
          <w:jc w:val="center"/>
        </w:trPr>
        <w:tc>
          <w:tcPr>
            <w:tcW w:w="9515" w:type="dxa"/>
            <w:gridSpan w:val="9"/>
            <w:tcBorders>
              <w:top w:val="single" w:color="auto" w:sz="2" w:space="0"/>
              <w:left w:val="single" w:color="auto" w:sz="2" w:space="0"/>
              <w:bottom w:val="single" w:color="auto" w:sz="2" w:space="0"/>
              <w:right w:val="single" w:color="auto" w:sz="4" w:space="0"/>
            </w:tcBorders>
            <w:vAlign w:val="center"/>
          </w:tcPr>
          <w:p>
            <w:pPr>
              <w:jc w:val="center"/>
              <w:rPr>
                <w:rFonts w:hint="eastAsia" w:ascii="宋体" w:hAnsi="宋体" w:cs="宋体"/>
                <w:b/>
                <w:sz w:val="24"/>
              </w:rPr>
            </w:pPr>
            <w:r>
              <w:rPr>
                <w:rFonts w:hint="eastAsia" w:ascii="宋体" w:hAnsi="宋体" w:cs="宋体"/>
                <w:b/>
                <w:sz w:val="24"/>
              </w:rPr>
              <w:t>租金报价评分（3</w:t>
            </w:r>
            <w:r>
              <w:rPr>
                <w:rFonts w:ascii="宋体" w:hAnsi="宋体" w:cs="宋体"/>
                <w:b/>
                <w:sz w:val="24"/>
              </w:rPr>
              <w:t>0</w:t>
            </w:r>
            <w:r>
              <w:rPr>
                <w:rFonts w:hint="eastAsia" w:ascii="宋体" w:hAnsi="宋体" w:cs="宋体"/>
                <w:b/>
                <w:sz w:val="24"/>
              </w:rPr>
              <w:t>分）</w:t>
            </w:r>
          </w:p>
        </w:tc>
      </w:tr>
      <w:tr>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108" w:type="dxa"/>
            <w:bottom w:w="0" w:type="dxa"/>
            <w:right w:w="108" w:type="dxa"/>
          </w:tblCellMar>
        </w:tblPrEx>
        <w:trPr>
          <w:trHeight w:val="932" w:hRule="atLeast"/>
          <w:jc w:val="center"/>
        </w:trPr>
        <w:tc>
          <w:tcPr>
            <w:tcW w:w="8672" w:type="dxa"/>
            <w:gridSpan w:val="8"/>
            <w:tcBorders>
              <w:top w:val="single" w:color="auto" w:sz="2" w:space="0"/>
              <w:left w:val="single" w:color="auto" w:sz="2" w:space="0"/>
              <w:bottom w:val="single" w:color="auto" w:sz="2" w:space="0"/>
              <w:right w:val="single" w:color="auto" w:sz="4" w:space="0"/>
            </w:tcBorders>
            <w:vAlign w:val="center"/>
          </w:tcPr>
          <w:p>
            <w:pPr>
              <w:pStyle w:val="27"/>
              <w:widowControl/>
              <w:adjustRightInd w:val="0"/>
              <w:snapToGrid w:val="0"/>
              <w:rPr>
                <w:rFonts w:hAnsi="宋体" w:cs="Times New Roman"/>
                <w:sz w:val="24"/>
                <w:szCs w:val="24"/>
              </w:rPr>
            </w:pPr>
            <w:r>
              <w:rPr>
                <w:rFonts w:hAnsi="宋体" w:cs="Times New Roman"/>
                <w:sz w:val="24"/>
                <w:szCs w:val="24"/>
              </w:rPr>
              <w:t>各有效</w:t>
            </w:r>
            <w:r>
              <w:rPr>
                <w:rFonts w:hint="eastAsia" w:hAnsi="宋体" w:cs="Times New Roman"/>
                <w:sz w:val="24"/>
                <w:szCs w:val="24"/>
                <w:lang w:eastAsia="zh-CN"/>
              </w:rPr>
              <w:t>响应人</w:t>
            </w:r>
            <w:r>
              <w:rPr>
                <w:rFonts w:hAnsi="宋体" w:cs="Times New Roman"/>
                <w:sz w:val="24"/>
                <w:szCs w:val="24"/>
              </w:rPr>
              <w:t>的年租金投标报价中，取最高报价作为满分基准价，各有效</w:t>
            </w:r>
            <w:r>
              <w:rPr>
                <w:rFonts w:hint="eastAsia" w:hAnsi="宋体" w:cs="Times New Roman"/>
                <w:sz w:val="24"/>
                <w:szCs w:val="24"/>
                <w:lang w:eastAsia="zh-CN"/>
              </w:rPr>
              <w:t>响应</w:t>
            </w:r>
            <w:r>
              <w:rPr>
                <w:rFonts w:hAnsi="宋体" w:cs="Times New Roman"/>
                <w:sz w:val="24"/>
                <w:szCs w:val="24"/>
              </w:rPr>
              <w:t>人的价格评分计算公式为：</w:t>
            </w:r>
            <w:r>
              <w:rPr>
                <w:rFonts w:hAnsi="宋体"/>
                <w:sz w:val="24"/>
                <w:szCs w:val="24"/>
              </w:rPr>
              <w:t>价格评分＝投标报价÷满分基准价×100×权重。</w:t>
            </w:r>
          </w:p>
        </w:tc>
        <w:tc>
          <w:tcPr>
            <w:tcW w:w="843" w:type="dxa"/>
            <w:tcBorders>
              <w:top w:val="single" w:color="auto" w:sz="2" w:space="0"/>
              <w:left w:val="single" w:color="auto" w:sz="2" w:space="0"/>
              <w:bottom w:val="single" w:color="auto" w:sz="2" w:space="0"/>
              <w:right w:val="single" w:color="auto" w:sz="4" w:space="0"/>
            </w:tcBorders>
            <w:vAlign w:val="center"/>
          </w:tcPr>
          <w:p>
            <w:pPr>
              <w:pStyle w:val="27"/>
              <w:widowControl/>
              <w:adjustRightInd w:val="0"/>
              <w:snapToGrid w:val="0"/>
              <w:rPr>
                <w:rFonts w:hAnsi="宋体" w:cs="Times New Roman"/>
                <w:b/>
                <w:sz w:val="24"/>
                <w:szCs w:val="24"/>
              </w:rPr>
            </w:pPr>
            <w:r>
              <w:rPr>
                <w:rFonts w:hint="eastAsia" w:hAnsi="宋体" w:cs="Times New Roman"/>
                <w:b/>
                <w:sz w:val="24"/>
                <w:szCs w:val="24"/>
              </w:rPr>
              <w:t>3</w:t>
            </w:r>
            <w:r>
              <w:rPr>
                <w:rFonts w:hAnsi="宋体" w:cs="Times New Roman"/>
                <w:b/>
                <w:sz w:val="24"/>
                <w:szCs w:val="24"/>
              </w:rPr>
              <w:t>0%</w:t>
            </w:r>
          </w:p>
        </w:tc>
      </w:tr>
    </w:tbl>
    <w:p>
      <w:pPr>
        <w:spacing w:line="520" w:lineRule="exact"/>
        <w:ind w:firstLine="480" w:firstLineChars="200"/>
        <w:rPr>
          <w:rFonts w:ascii="宋体" w:hAnsi="宋体"/>
          <w:sz w:val="24"/>
        </w:rPr>
      </w:pPr>
      <w:r>
        <w:rPr>
          <w:rFonts w:hint="eastAsia" w:ascii="宋体" w:hAnsi="宋体"/>
          <w:sz w:val="24"/>
        </w:rPr>
        <w:t>三、评分标准及统计办法：</w:t>
      </w:r>
    </w:p>
    <w:p>
      <w:pPr>
        <w:rPr>
          <w:rFonts w:ascii="宋体" w:hAnsi="宋体"/>
          <w:sz w:val="24"/>
        </w:rPr>
      </w:pPr>
      <w:r>
        <w:rPr>
          <w:rFonts w:hint="eastAsia" w:ascii="宋体" w:hAnsi="宋体"/>
          <w:sz w:val="24"/>
        </w:rPr>
        <w:t>按照评标程序的规定和依据评分标准，各位评委就每个投标人的技术状况、商务状况进行评审和比较，评出其技术评分及商务评分，然后取算术平均值即为该投标人的技术、商务得分。将技术商务得分和价格得分再相加得出综合得分。评标委员会将按综合得分由高到低的排名顺序推荐综合得分最高者为潜在中标人。当出现最高得分并列相同时，以年租金报价高者优先。</w:t>
      </w:r>
    </w:p>
    <w:p>
      <w:pPr>
        <w:ind w:firstLine="480" w:firstLineChars="200"/>
        <w:rPr>
          <w:rFonts w:ascii="Times New Roman" w:hAnsi="Times New Roman"/>
        </w:rPr>
      </w:pPr>
    </w:p>
    <w:p>
      <w:pPr>
        <w:ind w:firstLine="480" w:firstLineChars="200"/>
        <w:rPr>
          <w:rFonts w:ascii="Times New Roman" w:hAnsi="Times New Roman"/>
          <w:color w:val="000000" w:themeColor="text1"/>
        </w:rPr>
      </w:pPr>
      <w:r>
        <w:rPr>
          <w:rFonts w:ascii="Times New Roman" w:hAnsi="Times New Roman"/>
          <w:color w:val="000000" w:themeColor="text1"/>
        </w:rPr>
        <w:t>注：1.响应情况好是指针对招标文件“技术规格”所提岀各项要求响应性说明系统、翔实、准确，针对性强：无负偏离或缺漏项；响应性表述淸晰，技术指标或参数具体、明确、有冗余；设备或裝置选型合理，类似业绩丰富；验收标准和方法科学、合理、可操作性强；承诺的违约责任具有约束力，对保证项目达到预期目标有利。</w:t>
      </w:r>
    </w:p>
    <w:p>
      <w:pPr>
        <w:ind w:firstLine="480" w:firstLineChars="200"/>
        <w:rPr>
          <w:rFonts w:ascii="Times New Roman" w:hAnsi="Times New Roman"/>
          <w:color w:val="000000" w:themeColor="text1"/>
        </w:rPr>
      </w:pPr>
      <w:r>
        <w:rPr>
          <w:rFonts w:ascii="Times New Roman" w:hAnsi="Times New Roman"/>
          <w:color w:val="000000" w:themeColor="text1"/>
        </w:rPr>
        <w:t>2.响应情况较好是指针对招标文件“技术规格”所提岀各项要求响应性说明比较系统，针对性较强；无负偏离或大的缺漏项；响应性表述较淸晰，技术指标或参数较具体、明确、基本无冗余设备选型较合理，类似业绩较丰富；验收标准和方法较科学、合理；承诺的违约责仼具较有约束力，能够达到预期目标有利)。</w:t>
      </w:r>
    </w:p>
    <w:p>
      <w:pPr>
        <w:ind w:firstLine="480" w:firstLineChars="200"/>
        <w:rPr>
          <w:rFonts w:ascii="Times New Roman" w:hAnsi="Times New Roman"/>
          <w:color w:val="000000" w:themeColor="text1"/>
        </w:rPr>
      </w:pPr>
      <w:r>
        <w:rPr>
          <w:rFonts w:ascii="Times New Roman" w:hAnsi="Times New Roman"/>
          <w:color w:val="000000" w:themeColor="text1"/>
        </w:rPr>
        <w:t>3.响应情况一般是指针对招标文件“技术规格”所提出各项要求响应性说明基本完整，针对性一般：有负偏离或较多缺漏项；个别内容的响应性表述不够清晰，技术指标或参数较不够具体或明确、无冗余；设备选型基本符合要求，有类似业绩，但相对较少；有验收标准和方法，但不够完整；承诺的违约责任不太具有约束力)</w:t>
      </w:r>
    </w:p>
    <w:p>
      <w:pPr>
        <w:ind w:firstLine="480" w:firstLineChars="200"/>
        <w:rPr>
          <w:rFonts w:ascii="Times New Roman" w:hAnsi="Times New Roman"/>
          <w:color w:val="000000" w:themeColor="text1"/>
        </w:rPr>
      </w:pPr>
      <w:r>
        <w:rPr>
          <w:rFonts w:ascii="Times New Roman" w:hAnsi="Times New Roman"/>
          <w:color w:val="000000" w:themeColor="text1"/>
        </w:rPr>
        <w:t>4.响应情况较差是指针对招标文件“技术规格”所提出各项要求响应性说明内容不完整，针对性不强；有较多负偏离和缺漏项；部分内容响应性表述不清晰，部分技术指标或参数不具体或不明确，导致评委无法作出准确判断；设备选型不太符合要求，无类似业绩；未提及验收标准和方法或虽有提及但相关内容不具操作性；未承诺的违约责任)。</w:t>
      </w:r>
    </w:p>
    <w:p>
      <w:pPr>
        <w:pageBreakBefore/>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pStyle w:val="2"/>
        <w:spacing w:before="120" w:after="120"/>
        <w:rPr>
          <w:rFonts w:ascii="Times New Roman" w:hAnsi="Times New Roman"/>
          <w:color w:val="auto"/>
        </w:rPr>
      </w:pPr>
      <w:bookmarkStart w:id="187" w:name="_Toc436256535"/>
      <w:bookmarkStart w:id="188" w:name="_Toc41576446"/>
      <w:r>
        <w:rPr>
          <w:rFonts w:ascii="Times New Roman" w:hAnsi="Times New Roman"/>
          <w:color w:val="auto"/>
        </w:rPr>
        <w:t xml:space="preserve">第四章 </w:t>
      </w:r>
      <w:bookmarkEnd w:id="187"/>
      <w:r>
        <w:rPr>
          <w:rFonts w:ascii="Times New Roman" w:hAnsi="Times New Roman"/>
          <w:color w:val="auto"/>
        </w:rPr>
        <w:t>项目需求</w:t>
      </w:r>
      <w:bookmarkEnd w:id="188"/>
    </w:p>
    <w:p>
      <w:pPr>
        <w:rPr>
          <w:rFonts w:ascii="Times New Roman" w:hAnsi="Times New Roman"/>
        </w:rPr>
      </w:pPr>
    </w:p>
    <w:p>
      <w:pPr>
        <w:rPr>
          <w:rFonts w:ascii="Times New Roman" w:hAnsi="Times New Roman"/>
        </w:rPr>
        <w:sectPr>
          <w:headerReference r:id="rId10" w:type="default"/>
          <w:footerReference r:id="rId11" w:type="default"/>
          <w:pgSz w:w="11907" w:h="16840"/>
          <w:pgMar w:top="1134" w:right="1134" w:bottom="1134" w:left="1134" w:header="850" w:footer="680" w:gutter="0"/>
          <w:cols w:space="720" w:num="1"/>
          <w:docGrid w:linePitch="326" w:charSpace="0"/>
        </w:sectPr>
      </w:pPr>
    </w:p>
    <w:p>
      <w:pPr>
        <w:spacing w:line="520" w:lineRule="exact"/>
        <w:ind w:firstLine="482" w:firstLineChars="200"/>
        <w:jc w:val="center"/>
        <w:rPr>
          <w:rFonts w:hint="eastAsia" w:ascii="宋体" w:hAnsi="宋体"/>
          <w:b/>
          <w:sz w:val="24"/>
        </w:rPr>
      </w:pPr>
      <w:bookmarkStart w:id="189" w:name="_Toc436256539"/>
      <w:r>
        <w:rPr>
          <w:rFonts w:hint="eastAsia" w:ascii="宋体" w:hAnsi="宋体"/>
          <w:b/>
          <w:sz w:val="24"/>
        </w:rPr>
        <w:t>学生公寓洗衣机投资经营服务要求</w:t>
      </w:r>
    </w:p>
    <w:p>
      <w:pPr>
        <w:spacing w:line="520" w:lineRule="exact"/>
        <w:ind w:firstLine="480" w:firstLineChars="200"/>
        <w:rPr>
          <w:rFonts w:hint="eastAsia" w:ascii="宋体" w:hAnsi="宋体"/>
          <w:sz w:val="24"/>
        </w:rPr>
      </w:pPr>
      <w:r>
        <w:rPr>
          <w:rFonts w:hint="eastAsia" w:ascii="宋体" w:hAnsi="宋体"/>
          <w:sz w:val="24"/>
        </w:rPr>
        <w:t>一、学生公寓洗衣机投资要求</w:t>
      </w:r>
    </w:p>
    <w:p>
      <w:pPr>
        <w:spacing w:line="520" w:lineRule="exact"/>
        <w:ind w:firstLine="480" w:firstLineChars="200"/>
        <w:rPr>
          <w:rFonts w:hint="eastAsia" w:ascii="宋体" w:hAnsi="宋体" w:eastAsia="宋体"/>
          <w:b/>
          <w:sz w:val="24"/>
          <w:lang w:eastAsia="zh-CN"/>
        </w:rPr>
      </w:pPr>
      <w:r>
        <w:rPr>
          <w:rFonts w:hint="eastAsia" w:ascii="宋体" w:hAnsi="宋体"/>
          <w:sz w:val="24"/>
        </w:rPr>
        <w:t>1、</w:t>
      </w:r>
      <w:r>
        <w:rPr>
          <w:rFonts w:hint="eastAsia" w:ascii="宋体" w:hAnsi="宋体"/>
          <w:color w:val="000000" w:themeColor="text1"/>
          <w:sz w:val="24"/>
          <w14:textFill>
            <w14:solidFill>
              <w14:schemeClr w14:val="tx1"/>
            </w14:solidFill>
          </w14:textFill>
        </w:rPr>
        <w:t>学生公寓洗衣机投资经营服务</w:t>
      </w:r>
      <w:r>
        <w:rPr>
          <w:rFonts w:hint="eastAsia" w:ascii="宋体" w:hAnsi="宋体"/>
          <w:sz w:val="24"/>
        </w:rPr>
        <w:t>年限：叁年</w:t>
      </w:r>
      <w:r>
        <w:rPr>
          <w:rFonts w:hint="eastAsia"/>
          <w:sz w:val="24"/>
          <w:lang w:eastAsia="zh-CN"/>
        </w:rPr>
        <w:t>（合同签订之日起叁年）</w:t>
      </w:r>
    </w:p>
    <w:p>
      <w:pPr>
        <w:spacing w:line="520" w:lineRule="exact"/>
        <w:ind w:firstLine="480" w:firstLineChars="200"/>
        <w:rPr>
          <w:rFonts w:hint="eastAsia" w:ascii="宋体" w:hAnsi="宋体"/>
          <w:sz w:val="24"/>
        </w:rPr>
      </w:pPr>
      <w:r>
        <w:rPr>
          <w:rFonts w:hint="eastAsia" w:ascii="宋体" w:hAnsi="宋体"/>
          <w:sz w:val="24"/>
        </w:rPr>
        <w:t>为保证学生们的日常生活。中标人必须保证在 (合同中标后，一个月之内）所有设备安装到位并能正常运转。</w:t>
      </w:r>
    </w:p>
    <w:p>
      <w:pPr>
        <w:spacing w:line="520" w:lineRule="exact"/>
        <w:ind w:firstLine="480" w:firstLineChars="200"/>
        <w:rPr>
          <w:rFonts w:hint="eastAsia" w:ascii="宋体" w:hAnsi="宋体"/>
          <w:sz w:val="24"/>
        </w:rPr>
      </w:pPr>
      <w:r>
        <w:rPr>
          <w:rFonts w:hint="eastAsia" w:ascii="宋体" w:hAnsi="宋体"/>
          <w:sz w:val="24"/>
        </w:rPr>
        <w:t>2、学校负责提供洗衣机放置场地、水电（水电费按学院规定标准收取），对服务进行监管并收取一定的场地租金（按中标</w:t>
      </w:r>
      <w:r>
        <w:rPr>
          <w:rFonts w:ascii="宋体" w:hAnsi="宋体"/>
          <w:sz w:val="24"/>
        </w:rPr>
        <w:t>人</w:t>
      </w:r>
      <w:r>
        <w:rPr>
          <w:rFonts w:hint="eastAsia" w:ascii="宋体" w:hAnsi="宋体"/>
          <w:sz w:val="24"/>
        </w:rPr>
        <w:t>投标报价）。中标方负责购买、安装、维护洗衣机，对洗衣房进行台面、底座、室内环境等进行装修改造，供学生自助洗衣。</w:t>
      </w:r>
    </w:p>
    <w:p>
      <w:pPr>
        <w:spacing w:line="520" w:lineRule="exact"/>
        <w:ind w:firstLine="480" w:firstLineChars="200"/>
        <w:rPr>
          <w:rFonts w:hint="eastAsia" w:ascii="宋体" w:hAnsi="宋体"/>
          <w:sz w:val="24"/>
        </w:rPr>
      </w:pPr>
      <w:r>
        <w:rPr>
          <w:rFonts w:hint="eastAsia" w:ascii="宋体" w:hAnsi="宋体"/>
          <w:sz w:val="24"/>
        </w:rPr>
        <w:t>3、</w:t>
      </w:r>
      <w:r>
        <w:rPr>
          <w:rFonts w:hint="eastAsia" w:ascii="宋体" w:hAnsi="宋体"/>
          <w:b/>
          <w:sz w:val="24"/>
        </w:rPr>
        <w:t>洗衣机服务价格标准统一规定为：洗衣3元/次；漂洗、脱水2元/次；脱水1元/次。</w:t>
      </w:r>
    </w:p>
    <w:p>
      <w:pPr>
        <w:spacing w:line="520" w:lineRule="exact"/>
        <w:ind w:firstLine="480" w:firstLineChars="200"/>
        <w:rPr>
          <w:rFonts w:hint="eastAsia" w:ascii="宋体" w:hAnsi="宋体"/>
          <w:sz w:val="24"/>
        </w:rPr>
      </w:pPr>
      <w:r>
        <w:rPr>
          <w:rFonts w:hint="eastAsia" w:ascii="宋体" w:hAnsi="宋体"/>
          <w:sz w:val="24"/>
        </w:rPr>
        <w:t>4、洗衣机的规格及要求：8公斤滚筒洗衣机，满足国家规定的所有行业标准规范。</w:t>
      </w:r>
    </w:p>
    <w:p>
      <w:pPr>
        <w:spacing w:line="520" w:lineRule="exact"/>
        <w:ind w:firstLine="480" w:firstLineChars="200"/>
        <w:rPr>
          <w:rFonts w:hint="eastAsia" w:ascii="宋体" w:hAnsi="宋体"/>
          <w:sz w:val="24"/>
        </w:rPr>
      </w:pPr>
      <w:r>
        <w:rPr>
          <w:rFonts w:hint="eastAsia" w:ascii="宋体" w:hAnsi="宋体"/>
          <w:sz w:val="24"/>
        </w:rPr>
        <w:t>5、洗衣机必须是国内知名品牌，总放置数量不低于</w:t>
      </w:r>
      <w:r>
        <w:rPr>
          <w:rFonts w:hint="eastAsia" w:ascii="宋体" w:hAnsi="宋体"/>
          <w:b/>
          <w:sz w:val="24"/>
        </w:rPr>
        <w:t>180</w:t>
      </w:r>
      <w:r>
        <w:rPr>
          <w:rFonts w:hint="eastAsia" w:ascii="宋体" w:hAnsi="宋体"/>
          <w:sz w:val="24"/>
        </w:rPr>
        <w:t>台。</w:t>
      </w:r>
    </w:p>
    <w:p>
      <w:pPr>
        <w:spacing w:line="520" w:lineRule="exact"/>
        <w:ind w:firstLine="480" w:firstLineChars="200"/>
        <w:rPr>
          <w:rFonts w:hint="eastAsia" w:ascii="宋体" w:hAnsi="宋体"/>
          <w:sz w:val="24"/>
        </w:rPr>
      </w:pPr>
      <w:r>
        <w:rPr>
          <w:rFonts w:hint="eastAsia" w:ascii="宋体" w:hAnsi="宋体"/>
          <w:sz w:val="24"/>
        </w:rPr>
        <w:t>洗衣机分布位置如下（供参考）：</w:t>
      </w:r>
    </w:p>
    <w:tbl>
      <w:tblPr>
        <w:tblStyle w:val="51"/>
        <w:tblW w:w="7395" w:type="dxa"/>
        <w:tblInd w:w="78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455"/>
        <w:gridCol w:w="1785"/>
        <w:gridCol w:w="32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exact"/>
        </w:trPr>
        <w:tc>
          <w:tcPr>
            <w:tcW w:w="2355" w:type="dxa"/>
            <w:gridSpan w:val="2"/>
            <w:vAlign w:val="center"/>
          </w:tcPr>
          <w:p>
            <w:pPr>
              <w:spacing w:beforeLines="50" w:afterLines="50" w:line="300" w:lineRule="auto"/>
              <w:jc w:val="center"/>
              <w:rPr>
                <w:rFonts w:hint="eastAsia" w:ascii="宋体" w:hAnsi="宋体"/>
                <w:sz w:val="24"/>
              </w:rPr>
            </w:pPr>
            <w:r>
              <w:rPr>
                <w:rFonts w:hint="eastAsia" w:ascii="宋体" w:hAnsi="宋体"/>
                <w:sz w:val="24"/>
              </w:rPr>
              <w:t>楼栋</w:t>
            </w:r>
          </w:p>
        </w:tc>
        <w:tc>
          <w:tcPr>
            <w:tcW w:w="1785" w:type="dxa"/>
            <w:vAlign w:val="center"/>
          </w:tcPr>
          <w:p>
            <w:pPr>
              <w:spacing w:beforeLines="50" w:afterLines="50" w:line="300" w:lineRule="auto"/>
              <w:jc w:val="center"/>
              <w:rPr>
                <w:rFonts w:hint="eastAsia" w:ascii="宋体" w:hAnsi="宋体"/>
                <w:sz w:val="24"/>
              </w:rPr>
            </w:pPr>
            <w:r>
              <w:rPr>
                <w:rFonts w:hint="eastAsia" w:ascii="宋体" w:hAnsi="宋体"/>
                <w:sz w:val="24"/>
              </w:rPr>
              <w:t>洗衣房设置个数</w:t>
            </w:r>
          </w:p>
        </w:tc>
        <w:tc>
          <w:tcPr>
            <w:tcW w:w="3255" w:type="dxa"/>
            <w:vAlign w:val="center"/>
          </w:tcPr>
          <w:p>
            <w:pPr>
              <w:spacing w:beforeLines="50" w:afterLines="50" w:line="300" w:lineRule="auto"/>
              <w:jc w:val="center"/>
              <w:rPr>
                <w:rFonts w:hint="eastAsia" w:ascii="宋体" w:hAnsi="宋体"/>
                <w:sz w:val="24"/>
              </w:rPr>
            </w:pPr>
            <w:r>
              <w:rPr>
                <w:rFonts w:hint="eastAsia" w:ascii="宋体" w:hAnsi="宋体"/>
                <w:sz w:val="24"/>
              </w:rPr>
              <w:t>洗衣机数量（台）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00" w:type="dxa"/>
            <w:vMerge w:val="restart"/>
            <w:vAlign w:val="center"/>
          </w:tcPr>
          <w:p>
            <w:pPr>
              <w:spacing w:beforeLines="50" w:afterLines="50" w:line="300" w:lineRule="auto"/>
              <w:jc w:val="center"/>
              <w:rPr>
                <w:rFonts w:ascii="宋体" w:hAnsi="宋体"/>
                <w:sz w:val="24"/>
              </w:rPr>
            </w:pPr>
            <w:r>
              <w:rPr>
                <w:rFonts w:hint="eastAsia" w:ascii="宋体" w:hAnsi="宋体"/>
                <w:sz w:val="24"/>
              </w:rPr>
              <w:t>S1</w:t>
            </w:r>
          </w:p>
        </w:tc>
        <w:tc>
          <w:tcPr>
            <w:tcW w:w="1455" w:type="dxa"/>
            <w:vAlign w:val="center"/>
          </w:tcPr>
          <w:p>
            <w:pPr>
              <w:spacing w:beforeLines="50" w:afterLines="50" w:line="300" w:lineRule="auto"/>
              <w:jc w:val="center"/>
              <w:rPr>
                <w:rFonts w:ascii="宋体" w:hAnsi="宋体"/>
                <w:sz w:val="24"/>
              </w:rPr>
            </w:pPr>
            <w:r>
              <w:rPr>
                <w:rFonts w:hint="eastAsia" w:ascii="宋体" w:hAnsi="宋体"/>
                <w:sz w:val="24"/>
              </w:rPr>
              <w:t>S1A</w:t>
            </w:r>
          </w:p>
        </w:tc>
        <w:tc>
          <w:tcPr>
            <w:tcW w:w="1785" w:type="dxa"/>
            <w:vAlign w:val="center"/>
          </w:tcPr>
          <w:p>
            <w:pPr>
              <w:spacing w:beforeLines="50" w:afterLines="50" w:line="300" w:lineRule="auto"/>
              <w:jc w:val="center"/>
              <w:rPr>
                <w:rFonts w:ascii="宋体" w:hAnsi="宋体"/>
                <w:sz w:val="24"/>
              </w:rPr>
            </w:pPr>
            <w:r>
              <w:rPr>
                <w:rFonts w:hint="eastAsia" w:ascii="宋体" w:hAnsi="宋体"/>
                <w:sz w:val="24"/>
              </w:rPr>
              <w:t>1</w:t>
            </w:r>
          </w:p>
        </w:tc>
        <w:tc>
          <w:tcPr>
            <w:tcW w:w="3255" w:type="dxa"/>
            <w:vAlign w:val="center"/>
          </w:tcPr>
          <w:p>
            <w:pPr>
              <w:spacing w:beforeLines="50" w:afterLines="50" w:line="300" w:lineRule="auto"/>
              <w:jc w:val="center"/>
              <w:rPr>
                <w:rFonts w:ascii="宋体" w:hAnsi="宋体"/>
                <w:sz w:val="24"/>
              </w:rPr>
            </w:pPr>
            <w:r>
              <w:rPr>
                <w:rFonts w:hint="eastAsia" w:ascii="宋体" w:hAnsi="宋体"/>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00" w:type="dxa"/>
            <w:vMerge w:val="continue"/>
            <w:vAlign w:val="center"/>
          </w:tcPr>
          <w:p>
            <w:pPr>
              <w:spacing w:beforeLines="50" w:afterLines="50" w:line="300" w:lineRule="auto"/>
              <w:jc w:val="center"/>
              <w:rPr>
                <w:rFonts w:hint="eastAsia" w:ascii="宋体" w:hAnsi="宋体"/>
                <w:sz w:val="24"/>
              </w:rPr>
            </w:pPr>
          </w:p>
        </w:tc>
        <w:tc>
          <w:tcPr>
            <w:tcW w:w="1455" w:type="dxa"/>
            <w:vAlign w:val="center"/>
          </w:tcPr>
          <w:p>
            <w:pPr>
              <w:spacing w:beforeLines="50" w:afterLines="50" w:line="300" w:lineRule="auto"/>
              <w:jc w:val="center"/>
              <w:rPr>
                <w:rFonts w:ascii="宋体" w:hAnsi="宋体"/>
                <w:sz w:val="24"/>
              </w:rPr>
            </w:pPr>
            <w:r>
              <w:rPr>
                <w:rFonts w:hint="eastAsia" w:ascii="宋体" w:hAnsi="宋体"/>
                <w:sz w:val="24"/>
              </w:rPr>
              <w:t>S1B</w:t>
            </w:r>
          </w:p>
        </w:tc>
        <w:tc>
          <w:tcPr>
            <w:tcW w:w="1785" w:type="dxa"/>
            <w:vAlign w:val="center"/>
          </w:tcPr>
          <w:p>
            <w:pPr>
              <w:spacing w:beforeLines="50" w:afterLines="50" w:line="300" w:lineRule="auto"/>
              <w:jc w:val="center"/>
              <w:rPr>
                <w:rFonts w:ascii="宋体" w:hAnsi="宋体"/>
                <w:sz w:val="24"/>
              </w:rPr>
            </w:pPr>
            <w:r>
              <w:rPr>
                <w:rFonts w:hint="eastAsia" w:ascii="宋体" w:hAnsi="宋体"/>
                <w:sz w:val="24"/>
              </w:rPr>
              <w:t>1</w:t>
            </w:r>
          </w:p>
        </w:tc>
        <w:tc>
          <w:tcPr>
            <w:tcW w:w="3255" w:type="dxa"/>
            <w:vAlign w:val="center"/>
          </w:tcPr>
          <w:p>
            <w:pPr>
              <w:spacing w:beforeLines="50" w:afterLines="50" w:line="300" w:lineRule="auto"/>
              <w:jc w:val="center"/>
              <w:rPr>
                <w:rFonts w:ascii="宋体" w:hAnsi="宋体"/>
                <w:sz w:val="24"/>
              </w:rPr>
            </w:pPr>
            <w:r>
              <w:rPr>
                <w:rFonts w:hint="eastAsia" w:ascii="宋体" w:hAnsi="宋体"/>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00" w:type="dxa"/>
            <w:vMerge w:val="restart"/>
            <w:vAlign w:val="center"/>
          </w:tcPr>
          <w:p>
            <w:pPr>
              <w:spacing w:beforeLines="50" w:afterLines="50" w:line="300" w:lineRule="auto"/>
              <w:jc w:val="center"/>
              <w:rPr>
                <w:rFonts w:ascii="宋体" w:hAnsi="宋体"/>
                <w:sz w:val="24"/>
              </w:rPr>
            </w:pPr>
            <w:r>
              <w:rPr>
                <w:rFonts w:hint="eastAsia" w:ascii="宋体" w:hAnsi="宋体"/>
                <w:sz w:val="24"/>
              </w:rPr>
              <w:t>S2</w:t>
            </w:r>
          </w:p>
        </w:tc>
        <w:tc>
          <w:tcPr>
            <w:tcW w:w="1455" w:type="dxa"/>
            <w:vAlign w:val="center"/>
          </w:tcPr>
          <w:p>
            <w:pPr>
              <w:spacing w:beforeLines="50" w:afterLines="50" w:line="300" w:lineRule="auto"/>
              <w:jc w:val="center"/>
              <w:rPr>
                <w:rFonts w:hint="eastAsia" w:ascii="宋体" w:hAnsi="宋体"/>
                <w:sz w:val="24"/>
              </w:rPr>
            </w:pPr>
            <w:r>
              <w:rPr>
                <w:rFonts w:hint="eastAsia" w:ascii="宋体" w:hAnsi="宋体"/>
                <w:sz w:val="24"/>
              </w:rPr>
              <w:t>S2A</w:t>
            </w:r>
          </w:p>
        </w:tc>
        <w:tc>
          <w:tcPr>
            <w:tcW w:w="1785" w:type="dxa"/>
            <w:vAlign w:val="center"/>
          </w:tcPr>
          <w:p>
            <w:pPr>
              <w:spacing w:beforeLines="50" w:afterLines="50" w:line="300" w:lineRule="auto"/>
              <w:jc w:val="center"/>
              <w:rPr>
                <w:rFonts w:ascii="宋体" w:hAnsi="宋体"/>
                <w:sz w:val="24"/>
              </w:rPr>
            </w:pPr>
            <w:r>
              <w:rPr>
                <w:rFonts w:hint="eastAsia" w:ascii="宋体" w:hAnsi="宋体"/>
                <w:sz w:val="24"/>
              </w:rPr>
              <w:t>1</w:t>
            </w:r>
          </w:p>
        </w:tc>
        <w:tc>
          <w:tcPr>
            <w:tcW w:w="3255" w:type="dxa"/>
            <w:vAlign w:val="center"/>
          </w:tcPr>
          <w:p>
            <w:pPr>
              <w:spacing w:beforeLines="50" w:afterLines="50" w:line="300" w:lineRule="auto"/>
              <w:jc w:val="center"/>
              <w:rPr>
                <w:rFonts w:ascii="宋体" w:hAnsi="宋体"/>
                <w:sz w:val="24"/>
              </w:rPr>
            </w:pPr>
            <w:r>
              <w:rPr>
                <w:rFonts w:hint="eastAsia" w:ascii="宋体" w:hAnsi="宋体"/>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00" w:type="dxa"/>
            <w:vMerge w:val="continue"/>
            <w:vAlign w:val="center"/>
          </w:tcPr>
          <w:p>
            <w:pPr>
              <w:spacing w:beforeLines="50" w:afterLines="50" w:line="300" w:lineRule="auto"/>
              <w:jc w:val="center"/>
              <w:rPr>
                <w:rFonts w:hint="eastAsia" w:ascii="宋体" w:hAnsi="宋体"/>
                <w:sz w:val="24"/>
              </w:rPr>
            </w:pPr>
          </w:p>
        </w:tc>
        <w:tc>
          <w:tcPr>
            <w:tcW w:w="1455" w:type="dxa"/>
            <w:vAlign w:val="center"/>
          </w:tcPr>
          <w:p>
            <w:pPr>
              <w:spacing w:beforeLines="50" w:afterLines="50" w:line="300" w:lineRule="auto"/>
              <w:jc w:val="center"/>
              <w:rPr>
                <w:rFonts w:hint="eastAsia" w:ascii="宋体" w:hAnsi="宋体"/>
                <w:sz w:val="24"/>
              </w:rPr>
            </w:pPr>
            <w:r>
              <w:rPr>
                <w:rFonts w:hint="eastAsia" w:ascii="宋体" w:hAnsi="宋体"/>
                <w:sz w:val="24"/>
              </w:rPr>
              <w:t>S2B</w:t>
            </w:r>
          </w:p>
        </w:tc>
        <w:tc>
          <w:tcPr>
            <w:tcW w:w="1785" w:type="dxa"/>
            <w:vAlign w:val="center"/>
          </w:tcPr>
          <w:p>
            <w:pPr>
              <w:spacing w:beforeLines="50" w:afterLines="50" w:line="300" w:lineRule="auto"/>
              <w:jc w:val="center"/>
              <w:rPr>
                <w:rFonts w:ascii="宋体" w:hAnsi="宋体"/>
                <w:sz w:val="24"/>
              </w:rPr>
            </w:pPr>
            <w:r>
              <w:rPr>
                <w:rFonts w:hint="eastAsia" w:ascii="宋体" w:hAnsi="宋体"/>
                <w:sz w:val="24"/>
              </w:rPr>
              <w:t>1</w:t>
            </w:r>
          </w:p>
        </w:tc>
        <w:tc>
          <w:tcPr>
            <w:tcW w:w="3255" w:type="dxa"/>
            <w:vAlign w:val="center"/>
          </w:tcPr>
          <w:p>
            <w:pPr>
              <w:spacing w:beforeLines="50" w:afterLines="50" w:line="300" w:lineRule="auto"/>
              <w:jc w:val="center"/>
              <w:rPr>
                <w:rFonts w:ascii="宋体" w:hAnsi="宋体"/>
                <w:sz w:val="24"/>
              </w:rPr>
            </w:pPr>
            <w:r>
              <w:rPr>
                <w:rFonts w:hint="eastAsia" w:ascii="宋体" w:hAnsi="宋体"/>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00" w:type="dxa"/>
            <w:vMerge w:val="restart"/>
            <w:vAlign w:val="center"/>
          </w:tcPr>
          <w:p>
            <w:pPr>
              <w:spacing w:beforeLines="50" w:afterLines="50" w:line="300" w:lineRule="auto"/>
              <w:jc w:val="center"/>
              <w:rPr>
                <w:rFonts w:ascii="宋体" w:hAnsi="宋体"/>
                <w:sz w:val="24"/>
              </w:rPr>
            </w:pPr>
            <w:r>
              <w:rPr>
                <w:rFonts w:hint="eastAsia" w:ascii="宋体" w:hAnsi="宋体"/>
                <w:sz w:val="24"/>
              </w:rPr>
              <w:t>S3</w:t>
            </w:r>
          </w:p>
        </w:tc>
        <w:tc>
          <w:tcPr>
            <w:tcW w:w="1455" w:type="dxa"/>
            <w:vAlign w:val="center"/>
          </w:tcPr>
          <w:p>
            <w:pPr>
              <w:spacing w:beforeLines="50" w:afterLines="50" w:line="300" w:lineRule="auto"/>
              <w:jc w:val="center"/>
              <w:rPr>
                <w:rFonts w:hint="eastAsia" w:ascii="宋体" w:hAnsi="宋体"/>
                <w:sz w:val="24"/>
              </w:rPr>
            </w:pPr>
            <w:r>
              <w:rPr>
                <w:rFonts w:hint="eastAsia" w:ascii="宋体" w:hAnsi="宋体"/>
                <w:sz w:val="24"/>
              </w:rPr>
              <w:t>S3A</w:t>
            </w:r>
          </w:p>
        </w:tc>
        <w:tc>
          <w:tcPr>
            <w:tcW w:w="1785" w:type="dxa"/>
            <w:vAlign w:val="center"/>
          </w:tcPr>
          <w:p>
            <w:pPr>
              <w:spacing w:beforeLines="50" w:afterLines="50" w:line="300" w:lineRule="auto"/>
              <w:jc w:val="center"/>
              <w:rPr>
                <w:rFonts w:ascii="宋体" w:hAnsi="宋体"/>
                <w:sz w:val="24"/>
              </w:rPr>
            </w:pPr>
            <w:r>
              <w:rPr>
                <w:rFonts w:hint="eastAsia" w:ascii="宋体" w:hAnsi="宋体"/>
                <w:sz w:val="24"/>
              </w:rPr>
              <w:t>1</w:t>
            </w:r>
          </w:p>
        </w:tc>
        <w:tc>
          <w:tcPr>
            <w:tcW w:w="3255" w:type="dxa"/>
            <w:vAlign w:val="center"/>
          </w:tcPr>
          <w:p>
            <w:pPr>
              <w:spacing w:beforeLines="50" w:afterLines="50" w:line="300" w:lineRule="auto"/>
              <w:jc w:val="center"/>
              <w:rPr>
                <w:rFonts w:ascii="宋体" w:hAnsi="宋体"/>
                <w:sz w:val="24"/>
              </w:rPr>
            </w:pPr>
            <w:r>
              <w:rPr>
                <w:rFonts w:hint="eastAsia" w:ascii="宋体" w:hAnsi="宋体"/>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00" w:type="dxa"/>
            <w:vMerge w:val="continue"/>
            <w:vAlign w:val="center"/>
          </w:tcPr>
          <w:p>
            <w:pPr>
              <w:spacing w:beforeLines="50" w:afterLines="50" w:line="300" w:lineRule="auto"/>
              <w:jc w:val="center"/>
              <w:rPr>
                <w:rFonts w:hint="eastAsia" w:ascii="宋体" w:hAnsi="宋体"/>
                <w:sz w:val="24"/>
              </w:rPr>
            </w:pPr>
          </w:p>
        </w:tc>
        <w:tc>
          <w:tcPr>
            <w:tcW w:w="1455" w:type="dxa"/>
            <w:vAlign w:val="center"/>
          </w:tcPr>
          <w:p>
            <w:pPr>
              <w:spacing w:beforeLines="50" w:afterLines="50" w:line="300" w:lineRule="auto"/>
              <w:jc w:val="center"/>
              <w:rPr>
                <w:rFonts w:hint="eastAsia" w:ascii="宋体" w:hAnsi="宋体"/>
                <w:sz w:val="24"/>
              </w:rPr>
            </w:pPr>
            <w:r>
              <w:rPr>
                <w:rFonts w:hint="eastAsia" w:ascii="宋体" w:hAnsi="宋体"/>
                <w:sz w:val="24"/>
              </w:rPr>
              <w:t>S3B</w:t>
            </w:r>
          </w:p>
        </w:tc>
        <w:tc>
          <w:tcPr>
            <w:tcW w:w="1785" w:type="dxa"/>
            <w:vAlign w:val="center"/>
          </w:tcPr>
          <w:p>
            <w:pPr>
              <w:spacing w:beforeLines="50" w:afterLines="50" w:line="300" w:lineRule="auto"/>
              <w:jc w:val="center"/>
              <w:rPr>
                <w:rFonts w:ascii="宋体" w:hAnsi="宋体"/>
                <w:sz w:val="24"/>
              </w:rPr>
            </w:pPr>
            <w:r>
              <w:rPr>
                <w:rFonts w:hint="eastAsia" w:ascii="宋体" w:hAnsi="宋体"/>
                <w:sz w:val="24"/>
              </w:rPr>
              <w:t>1</w:t>
            </w:r>
          </w:p>
        </w:tc>
        <w:tc>
          <w:tcPr>
            <w:tcW w:w="3255" w:type="dxa"/>
            <w:vAlign w:val="center"/>
          </w:tcPr>
          <w:p>
            <w:pPr>
              <w:spacing w:beforeLines="50" w:afterLines="50" w:line="300" w:lineRule="auto"/>
              <w:jc w:val="center"/>
              <w:rPr>
                <w:rFonts w:ascii="宋体" w:hAnsi="宋体"/>
                <w:sz w:val="24"/>
              </w:rPr>
            </w:pPr>
            <w:r>
              <w:rPr>
                <w:rFonts w:hint="eastAsia" w:ascii="宋体" w:hAnsi="宋体"/>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00" w:type="dxa"/>
            <w:vMerge w:val="restart"/>
            <w:vAlign w:val="center"/>
          </w:tcPr>
          <w:p>
            <w:pPr>
              <w:spacing w:beforeLines="50" w:afterLines="50" w:line="300" w:lineRule="auto"/>
              <w:jc w:val="center"/>
              <w:rPr>
                <w:rFonts w:ascii="宋体" w:hAnsi="宋体"/>
                <w:sz w:val="24"/>
              </w:rPr>
            </w:pPr>
            <w:r>
              <w:rPr>
                <w:rFonts w:hint="eastAsia" w:ascii="宋体" w:hAnsi="宋体"/>
                <w:sz w:val="24"/>
              </w:rPr>
              <w:t>S4</w:t>
            </w:r>
          </w:p>
        </w:tc>
        <w:tc>
          <w:tcPr>
            <w:tcW w:w="1455" w:type="dxa"/>
            <w:vAlign w:val="center"/>
          </w:tcPr>
          <w:p>
            <w:pPr>
              <w:spacing w:beforeLines="50" w:afterLines="50" w:line="300" w:lineRule="auto"/>
              <w:jc w:val="center"/>
              <w:rPr>
                <w:rFonts w:hint="eastAsia" w:ascii="宋体" w:hAnsi="宋体"/>
                <w:sz w:val="24"/>
              </w:rPr>
            </w:pPr>
            <w:r>
              <w:rPr>
                <w:rFonts w:hint="eastAsia" w:ascii="宋体" w:hAnsi="宋体"/>
                <w:sz w:val="24"/>
              </w:rPr>
              <w:t>S4A</w:t>
            </w:r>
          </w:p>
        </w:tc>
        <w:tc>
          <w:tcPr>
            <w:tcW w:w="1785" w:type="dxa"/>
            <w:vAlign w:val="center"/>
          </w:tcPr>
          <w:p>
            <w:pPr>
              <w:spacing w:beforeLines="50" w:afterLines="50" w:line="300" w:lineRule="auto"/>
              <w:jc w:val="center"/>
              <w:rPr>
                <w:rFonts w:ascii="宋体" w:hAnsi="宋体"/>
                <w:sz w:val="24"/>
              </w:rPr>
            </w:pPr>
            <w:r>
              <w:rPr>
                <w:rFonts w:hint="eastAsia" w:ascii="宋体" w:hAnsi="宋体"/>
                <w:sz w:val="24"/>
              </w:rPr>
              <w:t>1</w:t>
            </w:r>
          </w:p>
        </w:tc>
        <w:tc>
          <w:tcPr>
            <w:tcW w:w="3255" w:type="dxa"/>
            <w:vAlign w:val="center"/>
          </w:tcPr>
          <w:p>
            <w:pPr>
              <w:spacing w:beforeLines="50" w:afterLines="50" w:line="300" w:lineRule="auto"/>
              <w:jc w:val="center"/>
              <w:rPr>
                <w:rFonts w:ascii="宋体" w:hAnsi="宋体"/>
                <w:sz w:val="24"/>
              </w:rPr>
            </w:pPr>
            <w:r>
              <w:rPr>
                <w:rFonts w:hint="eastAsia" w:ascii="宋体" w:hAnsi="宋体"/>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00" w:type="dxa"/>
            <w:vMerge w:val="continue"/>
            <w:vAlign w:val="center"/>
          </w:tcPr>
          <w:p>
            <w:pPr>
              <w:spacing w:beforeLines="50" w:afterLines="50" w:line="300" w:lineRule="auto"/>
              <w:jc w:val="center"/>
              <w:rPr>
                <w:rFonts w:hint="eastAsia" w:ascii="宋体" w:hAnsi="宋体"/>
                <w:sz w:val="24"/>
              </w:rPr>
            </w:pPr>
          </w:p>
        </w:tc>
        <w:tc>
          <w:tcPr>
            <w:tcW w:w="1455" w:type="dxa"/>
            <w:vAlign w:val="center"/>
          </w:tcPr>
          <w:p>
            <w:pPr>
              <w:spacing w:beforeLines="50" w:afterLines="50" w:line="300" w:lineRule="auto"/>
              <w:jc w:val="center"/>
              <w:rPr>
                <w:rFonts w:hint="eastAsia" w:ascii="宋体" w:hAnsi="宋体"/>
                <w:sz w:val="24"/>
              </w:rPr>
            </w:pPr>
            <w:r>
              <w:rPr>
                <w:rFonts w:hint="eastAsia" w:ascii="宋体" w:hAnsi="宋体"/>
                <w:sz w:val="24"/>
              </w:rPr>
              <w:t>S4B</w:t>
            </w:r>
          </w:p>
        </w:tc>
        <w:tc>
          <w:tcPr>
            <w:tcW w:w="1785" w:type="dxa"/>
            <w:vAlign w:val="center"/>
          </w:tcPr>
          <w:p>
            <w:pPr>
              <w:spacing w:beforeLines="50" w:afterLines="50" w:line="300" w:lineRule="auto"/>
              <w:jc w:val="center"/>
              <w:rPr>
                <w:rFonts w:ascii="宋体" w:hAnsi="宋体"/>
                <w:sz w:val="24"/>
              </w:rPr>
            </w:pPr>
            <w:r>
              <w:rPr>
                <w:rFonts w:hint="eastAsia" w:ascii="宋体" w:hAnsi="宋体"/>
                <w:sz w:val="24"/>
              </w:rPr>
              <w:t>1</w:t>
            </w:r>
          </w:p>
        </w:tc>
        <w:tc>
          <w:tcPr>
            <w:tcW w:w="3255" w:type="dxa"/>
            <w:vAlign w:val="center"/>
          </w:tcPr>
          <w:p>
            <w:pPr>
              <w:spacing w:beforeLines="50" w:afterLines="50" w:line="300" w:lineRule="auto"/>
              <w:jc w:val="center"/>
              <w:rPr>
                <w:rFonts w:ascii="宋体" w:hAnsi="宋体"/>
                <w:sz w:val="24"/>
              </w:rPr>
            </w:pPr>
            <w:r>
              <w:rPr>
                <w:rFonts w:hint="eastAsia" w:ascii="宋体" w:hAnsi="宋体"/>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00" w:type="dxa"/>
            <w:vMerge w:val="restart"/>
            <w:vAlign w:val="center"/>
          </w:tcPr>
          <w:p>
            <w:pPr>
              <w:spacing w:beforeLines="50" w:afterLines="50" w:line="300" w:lineRule="auto"/>
              <w:jc w:val="center"/>
              <w:rPr>
                <w:rFonts w:ascii="宋体" w:hAnsi="宋体"/>
                <w:sz w:val="24"/>
              </w:rPr>
            </w:pPr>
            <w:r>
              <w:rPr>
                <w:rFonts w:hint="eastAsia" w:ascii="宋体" w:hAnsi="宋体"/>
                <w:sz w:val="24"/>
              </w:rPr>
              <w:t>S5</w:t>
            </w:r>
          </w:p>
        </w:tc>
        <w:tc>
          <w:tcPr>
            <w:tcW w:w="1455" w:type="dxa"/>
            <w:vAlign w:val="center"/>
          </w:tcPr>
          <w:p>
            <w:pPr>
              <w:spacing w:beforeLines="50" w:afterLines="50" w:line="300" w:lineRule="auto"/>
              <w:jc w:val="center"/>
              <w:rPr>
                <w:rFonts w:hint="eastAsia" w:ascii="宋体" w:hAnsi="宋体"/>
                <w:sz w:val="24"/>
              </w:rPr>
            </w:pPr>
            <w:r>
              <w:rPr>
                <w:rFonts w:hint="eastAsia" w:ascii="宋体" w:hAnsi="宋体"/>
                <w:sz w:val="24"/>
              </w:rPr>
              <w:t>S5A</w:t>
            </w:r>
          </w:p>
        </w:tc>
        <w:tc>
          <w:tcPr>
            <w:tcW w:w="1785" w:type="dxa"/>
            <w:vAlign w:val="center"/>
          </w:tcPr>
          <w:p>
            <w:pPr>
              <w:spacing w:beforeLines="50" w:afterLines="50" w:line="300" w:lineRule="auto"/>
              <w:jc w:val="center"/>
              <w:rPr>
                <w:rFonts w:ascii="宋体" w:hAnsi="宋体"/>
                <w:sz w:val="24"/>
              </w:rPr>
            </w:pPr>
            <w:r>
              <w:rPr>
                <w:rFonts w:hint="eastAsia" w:ascii="宋体" w:hAnsi="宋体"/>
                <w:sz w:val="24"/>
              </w:rPr>
              <w:t>1</w:t>
            </w:r>
          </w:p>
        </w:tc>
        <w:tc>
          <w:tcPr>
            <w:tcW w:w="3255" w:type="dxa"/>
            <w:vAlign w:val="center"/>
          </w:tcPr>
          <w:p>
            <w:pPr>
              <w:spacing w:beforeLines="50" w:afterLines="50" w:line="300" w:lineRule="auto"/>
              <w:jc w:val="center"/>
              <w:rPr>
                <w:rFonts w:ascii="宋体" w:hAnsi="宋体"/>
                <w:sz w:val="24"/>
              </w:rPr>
            </w:pPr>
            <w:r>
              <w:rPr>
                <w:rFonts w:hint="eastAsia" w:ascii="宋体" w:hAnsi="宋体"/>
                <w:sz w:val="24"/>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00" w:type="dxa"/>
            <w:vMerge w:val="continue"/>
            <w:vAlign w:val="center"/>
          </w:tcPr>
          <w:p>
            <w:pPr>
              <w:spacing w:beforeLines="50" w:afterLines="50" w:line="300" w:lineRule="auto"/>
              <w:jc w:val="center"/>
              <w:rPr>
                <w:rFonts w:hint="eastAsia" w:ascii="宋体" w:hAnsi="宋体"/>
                <w:sz w:val="24"/>
              </w:rPr>
            </w:pPr>
          </w:p>
        </w:tc>
        <w:tc>
          <w:tcPr>
            <w:tcW w:w="1455" w:type="dxa"/>
            <w:vAlign w:val="center"/>
          </w:tcPr>
          <w:p>
            <w:pPr>
              <w:spacing w:beforeLines="50" w:afterLines="50" w:line="300" w:lineRule="auto"/>
              <w:jc w:val="center"/>
              <w:rPr>
                <w:rFonts w:hint="eastAsia" w:ascii="宋体" w:hAnsi="宋体"/>
                <w:sz w:val="24"/>
              </w:rPr>
            </w:pPr>
            <w:r>
              <w:rPr>
                <w:rFonts w:hint="eastAsia" w:ascii="宋体" w:hAnsi="宋体"/>
                <w:sz w:val="24"/>
              </w:rPr>
              <w:t>S5B</w:t>
            </w:r>
          </w:p>
        </w:tc>
        <w:tc>
          <w:tcPr>
            <w:tcW w:w="5040" w:type="dxa"/>
            <w:gridSpan w:val="2"/>
            <w:vAlign w:val="center"/>
          </w:tcPr>
          <w:p>
            <w:pPr>
              <w:spacing w:beforeLines="50" w:afterLines="50" w:line="300" w:lineRule="auto"/>
              <w:jc w:val="center"/>
              <w:rPr>
                <w:rFonts w:ascii="宋体" w:hAnsi="宋体"/>
                <w:sz w:val="24"/>
              </w:rPr>
            </w:pPr>
            <w:r>
              <w:rPr>
                <w:rFonts w:hint="eastAsia" w:ascii="宋体" w:hAnsi="宋体"/>
                <w:sz w:val="24"/>
              </w:rPr>
              <w:t>根据实际情况摆放在原开水房,计划5台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00" w:type="dxa"/>
            <w:vMerge w:val="continue"/>
            <w:vAlign w:val="center"/>
          </w:tcPr>
          <w:p>
            <w:pPr>
              <w:spacing w:beforeLines="50" w:afterLines="50" w:line="300" w:lineRule="auto"/>
              <w:jc w:val="center"/>
              <w:rPr>
                <w:rFonts w:hint="eastAsia" w:ascii="宋体" w:hAnsi="宋体"/>
                <w:sz w:val="24"/>
              </w:rPr>
            </w:pPr>
          </w:p>
        </w:tc>
        <w:tc>
          <w:tcPr>
            <w:tcW w:w="1455" w:type="dxa"/>
            <w:vAlign w:val="center"/>
          </w:tcPr>
          <w:p>
            <w:pPr>
              <w:spacing w:beforeLines="50" w:afterLines="50" w:line="300" w:lineRule="auto"/>
              <w:jc w:val="center"/>
              <w:rPr>
                <w:rFonts w:hint="eastAsia" w:ascii="宋体" w:hAnsi="宋体"/>
                <w:sz w:val="24"/>
              </w:rPr>
            </w:pPr>
            <w:r>
              <w:rPr>
                <w:rFonts w:hint="eastAsia" w:ascii="宋体" w:hAnsi="宋体"/>
                <w:sz w:val="24"/>
              </w:rPr>
              <w:t>S5C</w:t>
            </w:r>
          </w:p>
        </w:tc>
        <w:tc>
          <w:tcPr>
            <w:tcW w:w="1785" w:type="dxa"/>
            <w:vAlign w:val="center"/>
          </w:tcPr>
          <w:p>
            <w:pPr>
              <w:spacing w:beforeLines="50" w:afterLines="50" w:line="300" w:lineRule="auto"/>
              <w:jc w:val="center"/>
              <w:rPr>
                <w:rFonts w:ascii="宋体" w:hAnsi="宋体"/>
                <w:sz w:val="24"/>
              </w:rPr>
            </w:pPr>
            <w:r>
              <w:rPr>
                <w:rFonts w:hint="eastAsia" w:ascii="宋体" w:hAnsi="宋体"/>
                <w:sz w:val="24"/>
              </w:rPr>
              <w:t>1</w:t>
            </w:r>
          </w:p>
        </w:tc>
        <w:tc>
          <w:tcPr>
            <w:tcW w:w="3255" w:type="dxa"/>
            <w:vAlign w:val="center"/>
          </w:tcPr>
          <w:p>
            <w:pPr>
              <w:spacing w:beforeLines="50" w:afterLines="50" w:line="300" w:lineRule="auto"/>
              <w:jc w:val="center"/>
              <w:rPr>
                <w:rFonts w:ascii="宋体" w:hAnsi="宋体"/>
                <w:sz w:val="24"/>
              </w:rPr>
            </w:pPr>
            <w:r>
              <w:rPr>
                <w:rFonts w:hint="eastAsia" w:ascii="宋体" w:hAnsi="宋体"/>
                <w:sz w:val="24"/>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00" w:type="dxa"/>
            <w:vMerge w:val="restart"/>
            <w:vAlign w:val="center"/>
          </w:tcPr>
          <w:p>
            <w:pPr>
              <w:spacing w:beforeLines="50" w:afterLines="50" w:line="300" w:lineRule="auto"/>
              <w:jc w:val="center"/>
              <w:rPr>
                <w:rFonts w:ascii="宋体" w:hAnsi="宋体"/>
                <w:sz w:val="24"/>
              </w:rPr>
            </w:pPr>
            <w:r>
              <w:rPr>
                <w:rFonts w:hint="eastAsia" w:ascii="宋体" w:hAnsi="宋体"/>
                <w:sz w:val="24"/>
              </w:rPr>
              <w:t>S6</w:t>
            </w:r>
          </w:p>
        </w:tc>
        <w:tc>
          <w:tcPr>
            <w:tcW w:w="1455" w:type="dxa"/>
            <w:vAlign w:val="center"/>
          </w:tcPr>
          <w:p>
            <w:pPr>
              <w:spacing w:beforeLines="50" w:afterLines="50" w:line="300" w:lineRule="auto"/>
              <w:jc w:val="center"/>
              <w:rPr>
                <w:rFonts w:hint="eastAsia" w:ascii="宋体" w:hAnsi="宋体"/>
                <w:sz w:val="24"/>
              </w:rPr>
            </w:pPr>
            <w:r>
              <w:rPr>
                <w:rFonts w:hint="eastAsia" w:ascii="宋体" w:hAnsi="宋体"/>
                <w:sz w:val="24"/>
              </w:rPr>
              <w:t>S6A</w:t>
            </w:r>
          </w:p>
        </w:tc>
        <w:tc>
          <w:tcPr>
            <w:tcW w:w="1785" w:type="dxa"/>
            <w:vAlign w:val="center"/>
          </w:tcPr>
          <w:p>
            <w:pPr>
              <w:spacing w:beforeLines="50" w:afterLines="50" w:line="300" w:lineRule="auto"/>
              <w:jc w:val="center"/>
              <w:rPr>
                <w:rFonts w:ascii="宋体" w:hAnsi="宋体"/>
                <w:sz w:val="24"/>
              </w:rPr>
            </w:pPr>
            <w:r>
              <w:rPr>
                <w:rFonts w:hint="eastAsia" w:ascii="宋体" w:hAnsi="宋体"/>
                <w:sz w:val="24"/>
              </w:rPr>
              <w:t>1</w:t>
            </w:r>
          </w:p>
        </w:tc>
        <w:tc>
          <w:tcPr>
            <w:tcW w:w="3255" w:type="dxa"/>
            <w:vAlign w:val="center"/>
          </w:tcPr>
          <w:p>
            <w:pPr>
              <w:spacing w:beforeLines="50" w:afterLines="50" w:line="300" w:lineRule="auto"/>
              <w:jc w:val="center"/>
              <w:rPr>
                <w:rFonts w:ascii="宋体" w:hAnsi="宋体"/>
                <w:sz w:val="24"/>
              </w:rPr>
            </w:pPr>
            <w:r>
              <w:rPr>
                <w:rFonts w:hint="eastAsia" w:ascii="宋体" w:hAnsi="宋体"/>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00" w:type="dxa"/>
            <w:vMerge w:val="continue"/>
            <w:vAlign w:val="center"/>
          </w:tcPr>
          <w:p>
            <w:pPr>
              <w:spacing w:beforeLines="50" w:afterLines="50" w:line="300" w:lineRule="auto"/>
              <w:jc w:val="center"/>
              <w:rPr>
                <w:rFonts w:hint="eastAsia" w:ascii="宋体" w:hAnsi="宋体"/>
                <w:sz w:val="24"/>
              </w:rPr>
            </w:pPr>
          </w:p>
        </w:tc>
        <w:tc>
          <w:tcPr>
            <w:tcW w:w="1455" w:type="dxa"/>
            <w:vAlign w:val="center"/>
          </w:tcPr>
          <w:p>
            <w:pPr>
              <w:spacing w:beforeLines="50" w:afterLines="50" w:line="300" w:lineRule="auto"/>
              <w:jc w:val="center"/>
              <w:rPr>
                <w:rFonts w:hint="eastAsia" w:ascii="宋体" w:hAnsi="宋体"/>
                <w:sz w:val="24"/>
              </w:rPr>
            </w:pPr>
            <w:r>
              <w:rPr>
                <w:rFonts w:hint="eastAsia" w:ascii="宋体" w:hAnsi="宋体"/>
                <w:sz w:val="24"/>
              </w:rPr>
              <w:t>S6B</w:t>
            </w:r>
          </w:p>
        </w:tc>
        <w:tc>
          <w:tcPr>
            <w:tcW w:w="1785" w:type="dxa"/>
            <w:vAlign w:val="center"/>
          </w:tcPr>
          <w:p>
            <w:pPr>
              <w:spacing w:beforeLines="50" w:afterLines="50" w:line="300" w:lineRule="auto"/>
              <w:jc w:val="center"/>
              <w:rPr>
                <w:rFonts w:ascii="宋体" w:hAnsi="宋体"/>
                <w:sz w:val="24"/>
              </w:rPr>
            </w:pPr>
            <w:r>
              <w:rPr>
                <w:rFonts w:hint="eastAsia" w:ascii="宋体" w:hAnsi="宋体"/>
                <w:sz w:val="24"/>
              </w:rPr>
              <w:t>1</w:t>
            </w:r>
          </w:p>
        </w:tc>
        <w:tc>
          <w:tcPr>
            <w:tcW w:w="3255" w:type="dxa"/>
            <w:vAlign w:val="center"/>
          </w:tcPr>
          <w:p>
            <w:pPr>
              <w:spacing w:beforeLines="50" w:afterLines="50" w:line="300" w:lineRule="auto"/>
              <w:jc w:val="center"/>
              <w:rPr>
                <w:rFonts w:ascii="宋体" w:hAnsi="宋体"/>
                <w:sz w:val="24"/>
              </w:rPr>
            </w:pPr>
            <w:r>
              <w:rPr>
                <w:rFonts w:hint="eastAsia" w:ascii="宋体" w:hAnsi="宋体"/>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00" w:type="dxa"/>
            <w:vMerge w:val="restart"/>
            <w:vAlign w:val="center"/>
          </w:tcPr>
          <w:p>
            <w:pPr>
              <w:spacing w:beforeLines="50" w:afterLines="50" w:line="300" w:lineRule="auto"/>
              <w:jc w:val="center"/>
              <w:rPr>
                <w:rFonts w:ascii="宋体" w:hAnsi="宋体"/>
                <w:sz w:val="24"/>
              </w:rPr>
            </w:pPr>
            <w:r>
              <w:rPr>
                <w:rFonts w:hint="eastAsia" w:ascii="宋体" w:hAnsi="宋体"/>
                <w:sz w:val="24"/>
              </w:rPr>
              <w:t>S7</w:t>
            </w:r>
          </w:p>
        </w:tc>
        <w:tc>
          <w:tcPr>
            <w:tcW w:w="1455" w:type="dxa"/>
            <w:vAlign w:val="center"/>
          </w:tcPr>
          <w:p>
            <w:pPr>
              <w:spacing w:beforeLines="50" w:afterLines="50" w:line="300" w:lineRule="auto"/>
              <w:jc w:val="center"/>
              <w:rPr>
                <w:rFonts w:hint="eastAsia" w:ascii="宋体" w:hAnsi="宋体"/>
                <w:sz w:val="24"/>
              </w:rPr>
            </w:pPr>
            <w:r>
              <w:rPr>
                <w:rFonts w:hint="eastAsia" w:ascii="宋体" w:hAnsi="宋体"/>
                <w:sz w:val="24"/>
              </w:rPr>
              <w:t>S7A</w:t>
            </w:r>
          </w:p>
        </w:tc>
        <w:tc>
          <w:tcPr>
            <w:tcW w:w="1785" w:type="dxa"/>
            <w:vAlign w:val="center"/>
          </w:tcPr>
          <w:p>
            <w:pPr>
              <w:spacing w:beforeLines="50" w:afterLines="50" w:line="300" w:lineRule="auto"/>
              <w:jc w:val="center"/>
              <w:rPr>
                <w:rFonts w:ascii="宋体" w:hAnsi="宋体"/>
                <w:sz w:val="24"/>
              </w:rPr>
            </w:pPr>
            <w:r>
              <w:rPr>
                <w:rFonts w:hint="eastAsia" w:ascii="宋体" w:hAnsi="宋体"/>
                <w:sz w:val="24"/>
              </w:rPr>
              <w:t>1</w:t>
            </w:r>
          </w:p>
        </w:tc>
        <w:tc>
          <w:tcPr>
            <w:tcW w:w="3255" w:type="dxa"/>
            <w:vAlign w:val="center"/>
          </w:tcPr>
          <w:p>
            <w:pPr>
              <w:spacing w:beforeLines="50" w:afterLines="50" w:line="300" w:lineRule="auto"/>
              <w:jc w:val="center"/>
              <w:rPr>
                <w:rFonts w:ascii="宋体" w:hAnsi="宋体"/>
                <w:sz w:val="24"/>
              </w:rPr>
            </w:pPr>
            <w:r>
              <w:rPr>
                <w:rFonts w:hint="eastAsia" w:ascii="宋体" w:hAnsi="宋体"/>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00" w:type="dxa"/>
            <w:vMerge w:val="continue"/>
            <w:vAlign w:val="center"/>
          </w:tcPr>
          <w:p>
            <w:pPr>
              <w:spacing w:beforeLines="50" w:afterLines="50" w:line="300" w:lineRule="auto"/>
              <w:jc w:val="center"/>
              <w:rPr>
                <w:rFonts w:hint="eastAsia" w:ascii="宋体" w:hAnsi="宋体"/>
                <w:sz w:val="24"/>
              </w:rPr>
            </w:pPr>
          </w:p>
        </w:tc>
        <w:tc>
          <w:tcPr>
            <w:tcW w:w="1455" w:type="dxa"/>
            <w:vAlign w:val="center"/>
          </w:tcPr>
          <w:p>
            <w:pPr>
              <w:spacing w:beforeLines="50" w:afterLines="50" w:line="300" w:lineRule="auto"/>
              <w:jc w:val="center"/>
              <w:rPr>
                <w:rFonts w:hint="eastAsia" w:ascii="宋体" w:hAnsi="宋体"/>
                <w:sz w:val="24"/>
              </w:rPr>
            </w:pPr>
            <w:r>
              <w:rPr>
                <w:rFonts w:hint="eastAsia" w:ascii="宋体" w:hAnsi="宋体"/>
                <w:sz w:val="24"/>
              </w:rPr>
              <w:t>S7B</w:t>
            </w:r>
          </w:p>
        </w:tc>
        <w:tc>
          <w:tcPr>
            <w:tcW w:w="1785" w:type="dxa"/>
            <w:vAlign w:val="center"/>
          </w:tcPr>
          <w:p>
            <w:pPr>
              <w:spacing w:beforeLines="50" w:afterLines="50" w:line="300" w:lineRule="auto"/>
              <w:jc w:val="center"/>
              <w:rPr>
                <w:rFonts w:ascii="宋体" w:hAnsi="宋体"/>
                <w:sz w:val="24"/>
              </w:rPr>
            </w:pPr>
            <w:r>
              <w:rPr>
                <w:rFonts w:hint="eastAsia" w:ascii="宋体" w:hAnsi="宋体"/>
                <w:sz w:val="24"/>
              </w:rPr>
              <w:t>1</w:t>
            </w:r>
          </w:p>
        </w:tc>
        <w:tc>
          <w:tcPr>
            <w:tcW w:w="3255" w:type="dxa"/>
            <w:vAlign w:val="center"/>
          </w:tcPr>
          <w:p>
            <w:pPr>
              <w:spacing w:beforeLines="50" w:afterLines="50" w:line="300" w:lineRule="auto"/>
              <w:jc w:val="center"/>
              <w:rPr>
                <w:rFonts w:ascii="宋体" w:hAnsi="宋体"/>
                <w:sz w:val="24"/>
              </w:rPr>
            </w:pPr>
            <w:r>
              <w:rPr>
                <w:rFonts w:hint="eastAsia" w:ascii="宋体" w:hAnsi="宋体"/>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00" w:type="dxa"/>
            <w:vMerge w:val="restart"/>
            <w:vAlign w:val="center"/>
          </w:tcPr>
          <w:p>
            <w:pPr>
              <w:spacing w:beforeLines="50" w:afterLines="50" w:line="300" w:lineRule="auto"/>
              <w:jc w:val="center"/>
              <w:rPr>
                <w:rFonts w:ascii="宋体" w:hAnsi="宋体"/>
                <w:sz w:val="24"/>
              </w:rPr>
            </w:pPr>
            <w:r>
              <w:rPr>
                <w:rFonts w:hint="eastAsia" w:ascii="宋体" w:hAnsi="宋体"/>
                <w:sz w:val="24"/>
              </w:rPr>
              <w:t>S8</w:t>
            </w:r>
          </w:p>
        </w:tc>
        <w:tc>
          <w:tcPr>
            <w:tcW w:w="1455" w:type="dxa"/>
            <w:vAlign w:val="center"/>
          </w:tcPr>
          <w:p>
            <w:pPr>
              <w:spacing w:beforeLines="50" w:afterLines="50" w:line="300" w:lineRule="auto"/>
              <w:jc w:val="center"/>
              <w:rPr>
                <w:rFonts w:hint="eastAsia" w:ascii="宋体" w:hAnsi="宋体"/>
                <w:sz w:val="24"/>
              </w:rPr>
            </w:pPr>
            <w:r>
              <w:rPr>
                <w:rFonts w:hint="eastAsia" w:ascii="宋体" w:hAnsi="宋体"/>
                <w:sz w:val="24"/>
              </w:rPr>
              <w:t>S8A</w:t>
            </w:r>
          </w:p>
        </w:tc>
        <w:tc>
          <w:tcPr>
            <w:tcW w:w="5040" w:type="dxa"/>
            <w:gridSpan w:val="2"/>
            <w:vAlign w:val="center"/>
          </w:tcPr>
          <w:p>
            <w:pPr>
              <w:spacing w:beforeLines="50" w:afterLines="50" w:line="300" w:lineRule="auto"/>
              <w:jc w:val="center"/>
              <w:rPr>
                <w:rFonts w:ascii="宋体" w:hAnsi="宋体"/>
                <w:sz w:val="24"/>
              </w:rPr>
            </w:pPr>
            <w:r>
              <w:rPr>
                <w:rFonts w:hint="eastAsia" w:ascii="宋体" w:hAnsi="宋体"/>
                <w:sz w:val="24"/>
              </w:rPr>
              <w:t>根据实际情况摆放在原开水房，计划10台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00" w:type="dxa"/>
            <w:vMerge w:val="continue"/>
            <w:vAlign w:val="center"/>
          </w:tcPr>
          <w:p>
            <w:pPr>
              <w:spacing w:beforeLines="50" w:afterLines="50" w:line="300" w:lineRule="auto"/>
              <w:jc w:val="center"/>
              <w:rPr>
                <w:rFonts w:hint="eastAsia" w:ascii="宋体" w:hAnsi="宋体"/>
                <w:sz w:val="24"/>
              </w:rPr>
            </w:pPr>
          </w:p>
        </w:tc>
        <w:tc>
          <w:tcPr>
            <w:tcW w:w="1455" w:type="dxa"/>
            <w:vAlign w:val="center"/>
          </w:tcPr>
          <w:p>
            <w:pPr>
              <w:spacing w:beforeLines="50" w:afterLines="50" w:line="300" w:lineRule="auto"/>
              <w:jc w:val="center"/>
              <w:rPr>
                <w:rFonts w:hint="eastAsia" w:ascii="宋体" w:hAnsi="宋体"/>
                <w:sz w:val="24"/>
              </w:rPr>
            </w:pPr>
            <w:r>
              <w:rPr>
                <w:rFonts w:hint="eastAsia" w:ascii="宋体" w:hAnsi="宋体"/>
                <w:sz w:val="24"/>
              </w:rPr>
              <w:t>S8B</w:t>
            </w:r>
          </w:p>
        </w:tc>
        <w:tc>
          <w:tcPr>
            <w:tcW w:w="1785" w:type="dxa"/>
            <w:vAlign w:val="center"/>
          </w:tcPr>
          <w:p>
            <w:pPr>
              <w:spacing w:beforeLines="50" w:afterLines="50" w:line="300" w:lineRule="auto"/>
              <w:jc w:val="center"/>
              <w:rPr>
                <w:rFonts w:ascii="宋体" w:hAnsi="宋体"/>
                <w:sz w:val="24"/>
              </w:rPr>
            </w:pPr>
            <w:r>
              <w:rPr>
                <w:rFonts w:hint="eastAsia" w:ascii="宋体" w:hAnsi="宋体"/>
                <w:sz w:val="24"/>
              </w:rPr>
              <w:t>1</w:t>
            </w:r>
          </w:p>
        </w:tc>
        <w:tc>
          <w:tcPr>
            <w:tcW w:w="3255" w:type="dxa"/>
            <w:vAlign w:val="center"/>
          </w:tcPr>
          <w:p>
            <w:pPr>
              <w:spacing w:beforeLines="50" w:afterLines="50" w:line="300" w:lineRule="auto"/>
              <w:jc w:val="center"/>
              <w:rPr>
                <w:rFonts w:ascii="宋体" w:hAnsi="宋体"/>
                <w:sz w:val="24"/>
              </w:rPr>
            </w:pPr>
            <w:r>
              <w:rPr>
                <w:rFonts w:hint="eastAsia" w:ascii="宋体" w:hAnsi="宋体"/>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00" w:type="dxa"/>
            <w:vMerge w:val="continue"/>
            <w:vAlign w:val="center"/>
          </w:tcPr>
          <w:p>
            <w:pPr>
              <w:spacing w:beforeLines="50" w:afterLines="50" w:line="300" w:lineRule="auto"/>
              <w:jc w:val="center"/>
              <w:rPr>
                <w:rFonts w:hint="eastAsia" w:ascii="宋体" w:hAnsi="宋体"/>
                <w:sz w:val="24"/>
              </w:rPr>
            </w:pPr>
          </w:p>
        </w:tc>
        <w:tc>
          <w:tcPr>
            <w:tcW w:w="1455" w:type="dxa"/>
            <w:vAlign w:val="center"/>
          </w:tcPr>
          <w:p>
            <w:pPr>
              <w:spacing w:beforeLines="50" w:afterLines="50" w:line="300" w:lineRule="auto"/>
              <w:jc w:val="center"/>
              <w:rPr>
                <w:rFonts w:hint="eastAsia" w:ascii="宋体" w:hAnsi="宋体"/>
                <w:sz w:val="24"/>
              </w:rPr>
            </w:pPr>
            <w:r>
              <w:rPr>
                <w:rFonts w:hint="eastAsia" w:ascii="宋体" w:hAnsi="宋体"/>
                <w:sz w:val="24"/>
              </w:rPr>
              <w:t>S8C</w:t>
            </w:r>
          </w:p>
        </w:tc>
        <w:tc>
          <w:tcPr>
            <w:tcW w:w="1785" w:type="dxa"/>
            <w:vAlign w:val="center"/>
          </w:tcPr>
          <w:p>
            <w:pPr>
              <w:spacing w:beforeLines="50" w:afterLines="50" w:line="300" w:lineRule="auto"/>
              <w:jc w:val="center"/>
              <w:rPr>
                <w:rFonts w:ascii="宋体" w:hAnsi="宋体"/>
                <w:sz w:val="24"/>
              </w:rPr>
            </w:pPr>
            <w:r>
              <w:rPr>
                <w:rFonts w:hint="eastAsia" w:ascii="宋体" w:hAnsi="宋体"/>
                <w:sz w:val="24"/>
              </w:rPr>
              <w:t>1</w:t>
            </w:r>
          </w:p>
        </w:tc>
        <w:tc>
          <w:tcPr>
            <w:tcW w:w="3255" w:type="dxa"/>
            <w:vAlign w:val="center"/>
          </w:tcPr>
          <w:p>
            <w:pPr>
              <w:spacing w:beforeLines="50" w:afterLines="50" w:line="300" w:lineRule="auto"/>
              <w:jc w:val="center"/>
              <w:rPr>
                <w:rFonts w:ascii="宋体" w:hAnsi="宋体"/>
                <w:sz w:val="24"/>
              </w:rPr>
            </w:pPr>
            <w:r>
              <w:rPr>
                <w:rFonts w:hint="eastAsia" w:ascii="宋体" w:hAnsi="宋体"/>
                <w:sz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2355" w:type="dxa"/>
            <w:gridSpan w:val="2"/>
            <w:vAlign w:val="center"/>
          </w:tcPr>
          <w:p>
            <w:pPr>
              <w:spacing w:beforeLines="50" w:afterLines="50" w:line="300" w:lineRule="auto"/>
              <w:jc w:val="center"/>
              <w:rPr>
                <w:rFonts w:hint="eastAsia" w:ascii="宋体" w:hAnsi="宋体"/>
                <w:sz w:val="24"/>
              </w:rPr>
            </w:pPr>
            <w:r>
              <w:rPr>
                <w:rFonts w:hint="eastAsia" w:ascii="宋体" w:hAnsi="宋体"/>
                <w:sz w:val="24"/>
              </w:rPr>
              <w:t>合计</w:t>
            </w:r>
          </w:p>
        </w:tc>
        <w:tc>
          <w:tcPr>
            <w:tcW w:w="1785" w:type="dxa"/>
            <w:vAlign w:val="center"/>
          </w:tcPr>
          <w:p>
            <w:pPr>
              <w:spacing w:beforeLines="50" w:afterLines="50" w:line="300" w:lineRule="auto"/>
              <w:jc w:val="center"/>
              <w:rPr>
                <w:rFonts w:hint="eastAsia" w:ascii="宋体" w:hAnsi="宋体"/>
                <w:sz w:val="24"/>
              </w:rPr>
            </w:pPr>
          </w:p>
        </w:tc>
        <w:tc>
          <w:tcPr>
            <w:tcW w:w="3255" w:type="dxa"/>
            <w:vAlign w:val="center"/>
          </w:tcPr>
          <w:p>
            <w:pPr>
              <w:spacing w:beforeLines="50" w:afterLines="50" w:line="300" w:lineRule="auto"/>
              <w:jc w:val="center"/>
              <w:rPr>
                <w:rFonts w:ascii="宋体" w:hAnsi="宋体"/>
                <w:sz w:val="24"/>
              </w:rPr>
            </w:pPr>
            <w:r>
              <w:rPr>
                <w:rFonts w:hint="eastAsia" w:ascii="宋体" w:hAnsi="宋体"/>
                <w:sz w:val="24"/>
              </w:rPr>
              <w:t>180</w:t>
            </w:r>
          </w:p>
        </w:tc>
      </w:tr>
    </w:tbl>
    <w:p>
      <w:pPr>
        <w:rPr>
          <w:rFonts w:ascii="宋体" w:hAnsi="宋体"/>
          <w:sz w:val="24"/>
        </w:rPr>
      </w:pPr>
    </w:p>
    <w:p>
      <w:pPr>
        <w:spacing w:line="520" w:lineRule="exact"/>
        <w:ind w:firstLine="480" w:firstLineChars="200"/>
        <w:rPr>
          <w:rFonts w:hint="eastAsia" w:ascii="宋体" w:hAnsi="宋体"/>
          <w:sz w:val="24"/>
        </w:rPr>
      </w:pPr>
      <w:r>
        <w:rPr>
          <w:rFonts w:hint="eastAsia" w:ascii="宋体" w:hAnsi="宋体"/>
          <w:sz w:val="24"/>
        </w:rPr>
        <w:t>二、学生公寓洗衣机投资经营服务的技术要求</w:t>
      </w:r>
    </w:p>
    <w:p>
      <w:pPr>
        <w:spacing w:line="520" w:lineRule="exact"/>
        <w:ind w:firstLine="480" w:firstLineChars="200"/>
        <w:rPr>
          <w:rFonts w:ascii="宋体" w:hAnsi="宋体"/>
          <w:sz w:val="24"/>
        </w:rPr>
      </w:pPr>
      <w:r>
        <w:rPr>
          <w:rFonts w:hint="eastAsia" w:ascii="宋体" w:hAnsi="宋体"/>
          <w:sz w:val="24"/>
        </w:rPr>
        <w:t>1、学生公寓洗衣机的投入数量须满足学生衣服洗涤的要求。</w:t>
      </w:r>
    </w:p>
    <w:p>
      <w:pPr>
        <w:spacing w:line="520" w:lineRule="exact"/>
        <w:ind w:firstLine="480" w:firstLineChars="200"/>
        <w:rPr>
          <w:rFonts w:hint="eastAsia" w:ascii="宋体" w:hAnsi="宋体"/>
          <w:sz w:val="24"/>
        </w:rPr>
      </w:pPr>
      <w:r>
        <w:rPr>
          <w:rFonts w:hint="eastAsia" w:ascii="宋体" w:hAnsi="宋体"/>
          <w:sz w:val="24"/>
        </w:rPr>
        <w:t>2、定期进行消毒、灭菌，并有记录。洗衣机的使用必须安全、方便、卫生，衣物洗涤后要达到国家标准的消毒灭菌和防止交叉感染效果。中标方应该定期对洗衣机机器设备进行消毒、灭菌。</w:t>
      </w:r>
    </w:p>
    <w:p>
      <w:pPr>
        <w:spacing w:line="520" w:lineRule="exact"/>
        <w:ind w:firstLine="480" w:firstLineChars="200"/>
        <w:rPr>
          <w:rFonts w:hint="eastAsia" w:ascii="宋体" w:hAnsi="宋体"/>
          <w:sz w:val="24"/>
        </w:rPr>
      </w:pPr>
      <w:r>
        <w:rPr>
          <w:rFonts w:hint="eastAsia" w:ascii="宋体" w:hAnsi="宋体"/>
          <w:sz w:val="24"/>
        </w:rPr>
        <w:t>3、洗衣机上方统一安装隔板，配备洗衣篮等基本设施。所安装的全部设备、材料均须符合国家有关标准，并向学校管理部门提供标准文书和设备安装的有关详细资料。</w:t>
      </w:r>
    </w:p>
    <w:p>
      <w:pPr>
        <w:spacing w:line="520" w:lineRule="exact"/>
        <w:ind w:firstLine="480" w:firstLineChars="200"/>
        <w:rPr>
          <w:rFonts w:hint="eastAsia" w:ascii="宋体" w:hAnsi="宋体"/>
          <w:sz w:val="24"/>
        </w:rPr>
      </w:pPr>
      <w:r>
        <w:rPr>
          <w:rFonts w:hint="eastAsia" w:ascii="宋体" w:hAnsi="宋体"/>
          <w:sz w:val="24"/>
        </w:rPr>
        <w:t>4、洗衣机运行时的噪声、震动不能对周边居住的同学生活造成影响。</w:t>
      </w:r>
    </w:p>
    <w:p>
      <w:pPr>
        <w:spacing w:line="520" w:lineRule="exact"/>
        <w:ind w:firstLine="480" w:firstLineChars="200"/>
        <w:rPr>
          <w:rFonts w:hint="eastAsia" w:ascii="宋体" w:hAnsi="宋体"/>
          <w:sz w:val="24"/>
        </w:rPr>
      </w:pPr>
      <w:r>
        <w:rPr>
          <w:rFonts w:hint="eastAsia" w:ascii="宋体" w:hAnsi="宋体"/>
          <w:sz w:val="24"/>
        </w:rPr>
        <w:t>5、洗衣定价的调整（洗涤剂或洗衣粉由学生自行承担），须经学校有关部门批准后才能执行。</w:t>
      </w:r>
    </w:p>
    <w:p>
      <w:pPr>
        <w:spacing w:line="520" w:lineRule="exact"/>
        <w:ind w:firstLine="480" w:firstLineChars="200"/>
        <w:rPr>
          <w:rFonts w:hint="eastAsia" w:ascii="宋体" w:hAnsi="宋体"/>
          <w:sz w:val="24"/>
        </w:rPr>
      </w:pPr>
      <w:r>
        <w:rPr>
          <w:rFonts w:hint="eastAsia" w:ascii="宋体" w:hAnsi="宋体"/>
          <w:sz w:val="24"/>
        </w:rPr>
        <w:t>6、洗衣机的污水排放至学生公寓排污管内，管线铺设应符合学院有关部门的要求。</w:t>
      </w:r>
    </w:p>
    <w:p>
      <w:pPr>
        <w:spacing w:line="520" w:lineRule="exact"/>
        <w:ind w:firstLine="480" w:firstLineChars="200"/>
        <w:rPr>
          <w:rFonts w:hint="eastAsia" w:ascii="宋体" w:hAnsi="宋体"/>
          <w:sz w:val="24"/>
        </w:rPr>
      </w:pPr>
      <w:r>
        <w:rPr>
          <w:rFonts w:hint="eastAsia" w:ascii="宋体" w:hAnsi="宋体"/>
          <w:sz w:val="24"/>
        </w:rPr>
        <w:t>7、提供多种支付手段：校园一卡通，微信或支付宝（绑定一卡通账号）。</w:t>
      </w:r>
    </w:p>
    <w:p>
      <w:pPr>
        <w:spacing w:line="520" w:lineRule="exact"/>
        <w:ind w:firstLine="480" w:firstLineChars="200"/>
        <w:rPr>
          <w:rFonts w:hint="eastAsia" w:ascii="宋体" w:hAnsi="宋体"/>
          <w:sz w:val="24"/>
        </w:rPr>
      </w:pPr>
      <w:r>
        <w:rPr>
          <w:rFonts w:hint="eastAsia" w:ascii="宋体" w:hAnsi="宋体"/>
          <w:sz w:val="24"/>
        </w:rPr>
        <w:t>8、洗衣机具有预约和提醒功能，学生通过手机进行预约，洗衣结束后提醒及时回收衣物。</w:t>
      </w:r>
    </w:p>
    <w:p>
      <w:pPr>
        <w:spacing w:line="520" w:lineRule="exact"/>
        <w:ind w:firstLine="480" w:firstLineChars="200"/>
        <w:rPr>
          <w:rFonts w:ascii="宋体" w:hAnsi="宋体"/>
          <w:sz w:val="24"/>
        </w:rPr>
      </w:pPr>
      <w:r>
        <w:rPr>
          <w:rFonts w:hint="eastAsia" w:ascii="宋体" w:hAnsi="宋体"/>
          <w:sz w:val="24"/>
        </w:rPr>
        <w:t>9、每个洗衣房需配备洗衣液贩售机。</w:t>
      </w:r>
    </w:p>
    <w:p>
      <w:pPr>
        <w:spacing w:line="520" w:lineRule="exact"/>
        <w:ind w:firstLine="480" w:firstLineChars="200"/>
        <w:rPr>
          <w:rFonts w:hint="eastAsia" w:ascii="宋体" w:hAnsi="宋体"/>
          <w:sz w:val="24"/>
        </w:rPr>
      </w:pPr>
      <w:r>
        <w:rPr>
          <w:rFonts w:hint="eastAsia" w:ascii="宋体" w:hAnsi="宋体"/>
          <w:sz w:val="24"/>
        </w:rPr>
        <w:t>三、学生公寓洗衣机服务的日常管理要求</w:t>
      </w:r>
    </w:p>
    <w:p>
      <w:pPr>
        <w:spacing w:line="520" w:lineRule="exact"/>
        <w:ind w:firstLine="480" w:firstLineChars="200"/>
        <w:rPr>
          <w:rFonts w:hint="eastAsia" w:ascii="宋体" w:hAnsi="宋体"/>
          <w:sz w:val="24"/>
        </w:rPr>
      </w:pPr>
      <w:r>
        <w:rPr>
          <w:rFonts w:hint="eastAsia" w:ascii="宋体" w:hAnsi="宋体"/>
          <w:sz w:val="24"/>
        </w:rPr>
        <w:t>1、按指定的位置摆设洗衣设备，承担铺设供、排水管道（含水表）和电线（含电表、触电保安器）等费用，新增（或更换）机器设备须经学院管理部门批准，并按指定地点放置。</w:t>
      </w:r>
    </w:p>
    <w:p>
      <w:pPr>
        <w:spacing w:line="520" w:lineRule="exact"/>
        <w:ind w:firstLine="480" w:firstLineChars="200"/>
        <w:rPr>
          <w:rFonts w:hint="eastAsia" w:ascii="宋体" w:hAnsi="宋体"/>
          <w:sz w:val="24"/>
        </w:rPr>
      </w:pPr>
      <w:r>
        <w:rPr>
          <w:rFonts w:hint="eastAsia" w:ascii="宋体" w:hAnsi="宋体"/>
          <w:sz w:val="24"/>
        </w:rPr>
        <w:t>2、加强对洗衣机设备日常管理、维护并承担相关费用，故障在3小时内无法排除的，应提前告知通知学生，破损洗衣机应立即更换。</w:t>
      </w:r>
    </w:p>
    <w:p>
      <w:pPr>
        <w:spacing w:line="520" w:lineRule="exact"/>
        <w:ind w:firstLine="480" w:firstLineChars="200"/>
        <w:rPr>
          <w:rFonts w:hint="eastAsia" w:ascii="宋体" w:hAnsi="宋体"/>
          <w:sz w:val="24"/>
        </w:rPr>
      </w:pPr>
      <w:r>
        <w:rPr>
          <w:rFonts w:hint="eastAsia" w:ascii="宋体" w:hAnsi="宋体"/>
          <w:sz w:val="24"/>
        </w:rPr>
        <w:t>3、承担学生在使用洗衣设备时发生事故及衣物在机内发生损坏的赔偿责任。</w:t>
      </w:r>
    </w:p>
    <w:p>
      <w:pPr>
        <w:spacing w:line="520" w:lineRule="exact"/>
        <w:ind w:firstLine="480" w:firstLineChars="200"/>
        <w:rPr>
          <w:rFonts w:hint="eastAsia" w:ascii="宋体" w:hAnsi="宋体"/>
          <w:sz w:val="24"/>
        </w:rPr>
      </w:pPr>
      <w:r>
        <w:rPr>
          <w:rFonts w:hint="eastAsia" w:ascii="宋体" w:hAnsi="宋体"/>
          <w:sz w:val="24"/>
        </w:rPr>
        <w:t>4、热情服务学生，态度和蔼，发生收费异常情况，及时给予学生赔偿。</w:t>
      </w:r>
    </w:p>
    <w:p>
      <w:pPr>
        <w:spacing w:line="520" w:lineRule="exact"/>
        <w:ind w:firstLine="480" w:firstLineChars="200"/>
        <w:rPr>
          <w:rFonts w:hint="eastAsia" w:ascii="宋体" w:hAnsi="宋体"/>
          <w:sz w:val="24"/>
        </w:rPr>
      </w:pPr>
      <w:r>
        <w:rPr>
          <w:rFonts w:hint="eastAsia" w:ascii="宋体" w:hAnsi="宋体"/>
          <w:sz w:val="24"/>
        </w:rPr>
        <w:t>5、负责洗衣设备的清理和洗衣机周边的卫生保洁工作，确保洗衣机周边的环境卫生。</w:t>
      </w:r>
    </w:p>
    <w:p>
      <w:pPr>
        <w:spacing w:line="520" w:lineRule="exact"/>
        <w:ind w:firstLine="480" w:firstLineChars="200"/>
        <w:rPr>
          <w:rFonts w:hint="eastAsia" w:ascii="宋体" w:hAnsi="宋体"/>
          <w:sz w:val="24"/>
        </w:rPr>
      </w:pPr>
      <w:r>
        <w:rPr>
          <w:rFonts w:hint="eastAsia" w:ascii="宋体" w:hAnsi="宋体"/>
          <w:sz w:val="24"/>
        </w:rPr>
        <w:t>6、按合同约定及时缴纳洗衣机的水电费、场地租金等相关费用。</w:t>
      </w:r>
    </w:p>
    <w:p>
      <w:pPr>
        <w:spacing w:line="520" w:lineRule="exact"/>
        <w:ind w:firstLine="480" w:firstLineChars="200"/>
        <w:rPr>
          <w:rFonts w:hint="eastAsia" w:ascii="宋体" w:hAnsi="宋体"/>
          <w:sz w:val="24"/>
        </w:rPr>
      </w:pPr>
      <w:r>
        <w:rPr>
          <w:rFonts w:hint="eastAsia" w:ascii="宋体" w:hAnsi="宋体"/>
          <w:sz w:val="24"/>
        </w:rPr>
        <w:t>7、加强水、电、设备安全检查，确保安全服务，中标人无条件承担所有安全责任和经济责任。</w:t>
      </w:r>
    </w:p>
    <w:p>
      <w:pPr>
        <w:widowControl/>
        <w:spacing w:line="240" w:lineRule="auto"/>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pStyle w:val="2"/>
        <w:spacing w:before="120" w:after="120"/>
        <w:rPr>
          <w:rFonts w:ascii="Times New Roman" w:hAnsi="Times New Roman"/>
          <w:color w:val="auto"/>
        </w:rPr>
      </w:pPr>
      <w:bookmarkStart w:id="190" w:name="_Toc41576447"/>
      <w:r>
        <w:rPr>
          <w:rFonts w:ascii="Times New Roman" w:hAnsi="Times New Roman"/>
          <w:color w:val="auto"/>
        </w:rPr>
        <w:t>第</w:t>
      </w:r>
      <w:r>
        <w:rPr>
          <w:rFonts w:hint="eastAsia" w:ascii="Times New Roman" w:hAnsi="Times New Roman"/>
          <w:color w:val="auto"/>
          <w:lang w:eastAsia="zh-CN"/>
        </w:rPr>
        <w:t>五</w:t>
      </w:r>
      <w:r>
        <w:rPr>
          <w:rFonts w:ascii="Times New Roman" w:hAnsi="Times New Roman"/>
          <w:color w:val="auto"/>
        </w:rPr>
        <w:t>章 响应文件格式</w:t>
      </w:r>
      <w:bookmarkEnd w:id="189"/>
      <w:bookmarkEnd w:id="190"/>
    </w:p>
    <w:p>
      <w:pPr>
        <w:rPr>
          <w:rFonts w:ascii="Times New Roman" w:hAnsi="Times New Roman"/>
          <w:sz w:val="44"/>
        </w:rPr>
      </w:pPr>
      <w:r>
        <w:rPr>
          <w:rFonts w:ascii="Times New Roman" w:hAnsi="Times New Roman"/>
        </w:rPr>
        <w:br w:type="page"/>
      </w:r>
    </w:p>
    <w:p>
      <w:pPr>
        <w:pStyle w:val="3"/>
        <w:jc w:val="left"/>
        <w:rPr>
          <w:rFonts w:ascii="Times New Roman" w:hAnsi="Times New Roman"/>
        </w:rPr>
      </w:pPr>
      <w:r>
        <w:rPr>
          <w:rFonts w:ascii="Times New Roman" w:hAnsi="Times New Roman"/>
        </w:rPr>
        <w:t xml:space="preserve">1、封面                                        </w:t>
      </w:r>
      <w:r>
        <w:rPr>
          <w:rFonts w:ascii="Times New Roman" w:hAnsi="Times New Roman"/>
          <w:color w:val="FF0000"/>
        </w:rPr>
        <w:t xml:space="preserve"> 正/副</w:t>
      </w:r>
      <w:r>
        <w:rPr>
          <w:rFonts w:ascii="Times New Roman" w:hAnsi="Times New Roman"/>
        </w:rPr>
        <w:t>本</w:t>
      </w:r>
    </w:p>
    <w:p>
      <w:pPr>
        <w:tabs>
          <w:tab w:val="left" w:pos="2970"/>
          <w:tab w:val="center" w:pos="4422"/>
        </w:tabs>
        <w:rPr>
          <w:rFonts w:ascii="Times New Roman" w:hAnsi="Times New Roman"/>
          <w:b/>
          <w:sz w:val="52"/>
          <w:szCs w:val="52"/>
        </w:rPr>
      </w:pPr>
    </w:p>
    <w:p>
      <w:pPr>
        <w:tabs>
          <w:tab w:val="left" w:pos="2970"/>
          <w:tab w:val="center" w:pos="4422"/>
        </w:tabs>
        <w:rPr>
          <w:rFonts w:ascii="Times New Roman" w:hAnsi="Times New Roman"/>
          <w:b/>
          <w:sz w:val="52"/>
          <w:szCs w:val="52"/>
        </w:rPr>
      </w:pPr>
    </w:p>
    <w:p>
      <w:pPr>
        <w:rPr>
          <w:rFonts w:ascii="Times New Roman" w:hAnsi="Times New Roman"/>
        </w:rPr>
      </w:pPr>
    </w:p>
    <w:p>
      <w:pPr>
        <w:tabs>
          <w:tab w:val="left" w:pos="2970"/>
          <w:tab w:val="center" w:pos="4422"/>
        </w:tabs>
        <w:jc w:val="center"/>
        <w:rPr>
          <w:rFonts w:ascii="Times New Roman" w:hAnsi="Times New Roman"/>
          <w:b/>
          <w:sz w:val="52"/>
          <w:szCs w:val="52"/>
        </w:rPr>
      </w:pPr>
      <w:r>
        <w:rPr>
          <w:rFonts w:ascii="Times New Roman" w:hAnsi="Times New Roman"/>
          <w:b/>
          <w:sz w:val="52"/>
          <w:szCs w:val="52"/>
        </w:rPr>
        <w:t>江苏食品药品职业技术学院</w:t>
      </w:r>
    </w:p>
    <w:p>
      <w:pPr>
        <w:tabs>
          <w:tab w:val="left" w:pos="2970"/>
          <w:tab w:val="center" w:pos="4422"/>
        </w:tabs>
        <w:jc w:val="center"/>
        <w:rPr>
          <w:rFonts w:ascii="Times New Roman" w:hAnsi="Times New Roman"/>
          <w:b/>
          <w:sz w:val="44"/>
          <w:szCs w:val="44"/>
        </w:rPr>
      </w:pPr>
      <w:r>
        <w:rPr>
          <w:rFonts w:hint="eastAsia" w:ascii="Times New Roman" w:hAnsi="Times New Roman"/>
          <w:b/>
          <w:sz w:val="44"/>
          <w:szCs w:val="44"/>
          <w:lang w:eastAsia="zh-CN"/>
        </w:rPr>
        <w:t>学生公寓洗衣机投资经营服务</w:t>
      </w:r>
      <w:r>
        <w:rPr>
          <w:rFonts w:ascii="Times New Roman" w:hAnsi="Times New Roman"/>
          <w:b/>
          <w:sz w:val="44"/>
          <w:szCs w:val="44"/>
        </w:rPr>
        <w:t>项目</w:t>
      </w: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jc w:val="center"/>
        <w:rPr>
          <w:rFonts w:ascii="Times New Roman" w:hAnsi="Times New Roman"/>
          <w:b/>
          <w:sz w:val="52"/>
          <w:szCs w:val="52"/>
        </w:rPr>
      </w:pPr>
      <w:r>
        <w:rPr>
          <w:rFonts w:ascii="Times New Roman" w:hAnsi="Times New Roman"/>
          <w:b/>
          <w:sz w:val="52"/>
          <w:szCs w:val="52"/>
        </w:rPr>
        <w:t>响应文件</w:t>
      </w: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rPr>
          <w:rFonts w:ascii="Times New Roman" w:hAnsi="Times New Roman"/>
        </w:rPr>
      </w:pPr>
    </w:p>
    <w:p>
      <w:pPr>
        <w:ind w:firstLine="1928" w:firstLineChars="600"/>
        <w:rPr>
          <w:rFonts w:ascii="Times New Roman" w:hAnsi="Times New Roman"/>
          <w:b/>
          <w:bCs/>
          <w:sz w:val="32"/>
          <w:szCs w:val="32"/>
        </w:rPr>
      </w:pPr>
      <w:r>
        <w:rPr>
          <w:rFonts w:ascii="Times New Roman" w:hAnsi="Times New Roman"/>
          <w:b/>
          <w:bCs/>
          <w:sz w:val="32"/>
          <w:szCs w:val="32"/>
        </w:rPr>
        <w:t>采购编号：JSSP2020</w:t>
      </w:r>
      <w:r>
        <w:rPr>
          <w:rFonts w:hint="eastAsia" w:ascii="Times New Roman" w:hAnsi="Times New Roman"/>
          <w:b/>
          <w:bCs/>
          <w:sz w:val="32"/>
          <w:szCs w:val="32"/>
          <w:lang w:val="en-US" w:eastAsia="zh-CN"/>
        </w:rPr>
        <w:t>ZY</w:t>
      </w:r>
      <w:r>
        <w:rPr>
          <w:rFonts w:ascii="Times New Roman" w:hAnsi="Times New Roman"/>
          <w:b/>
          <w:bCs/>
          <w:sz w:val="32"/>
          <w:szCs w:val="32"/>
        </w:rPr>
        <w:t>0</w:t>
      </w:r>
      <w:r>
        <w:rPr>
          <w:rFonts w:hint="eastAsia" w:ascii="Times New Roman" w:hAnsi="Times New Roman"/>
          <w:b/>
          <w:bCs/>
          <w:sz w:val="32"/>
          <w:szCs w:val="32"/>
          <w:lang w:val="en-US" w:eastAsia="zh-CN"/>
        </w:rPr>
        <w:t>01</w:t>
      </w:r>
      <w:r>
        <w:rPr>
          <w:rFonts w:ascii="Times New Roman" w:hAnsi="Times New Roman"/>
          <w:b/>
          <w:bCs/>
          <w:sz w:val="32"/>
          <w:szCs w:val="32"/>
        </w:rPr>
        <w:t>X</w:t>
      </w:r>
    </w:p>
    <w:p>
      <w:pPr>
        <w:ind w:firstLine="1928" w:firstLineChars="600"/>
        <w:rPr>
          <w:rFonts w:ascii="Times New Roman" w:hAnsi="Times New Roman"/>
          <w:b/>
          <w:bCs/>
          <w:sz w:val="32"/>
          <w:szCs w:val="32"/>
        </w:rPr>
      </w:pPr>
      <w:r>
        <w:rPr>
          <w:rFonts w:ascii="Times New Roman" w:hAnsi="Times New Roman"/>
          <w:b/>
          <w:bCs/>
          <w:sz w:val="32"/>
          <w:szCs w:val="32"/>
        </w:rPr>
        <w:t>采 购 人：江苏食品药品职业技术学院</w:t>
      </w:r>
    </w:p>
    <w:p>
      <w:pPr>
        <w:spacing w:line="480" w:lineRule="auto"/>
        <w:jc w:val="center"/>
        <w:rPr>
          <w:rFonts w:hint="default" w:ascii="Times New Roman" w:hAnsi="Times New Roman" w:eastAsia="宋体"/>
          <w:b/>
          <w:bCs/>
          <w:sz w:val="32"/>
          <w:szCs w:val="32"/>
          <w:lang w:val="en-US" w:eastAsia="zh-CN"/>
        </w:rPr>
      </w:pPr>
      <w:r>
        <w:rPr>
          <w:rFonts w:ascii="Times New Roman" w:hAnsi="Times New Roman"/>
          <w:b/>
          <w:bCs/>
          <w:sz w:val="32"/>
          <w:szCs w:val="32"/>
        </w:rPr>
        <w:t>2020-</w:t>
      </w:r>
      <w:r>
        <w:rPr>
          <w:rFonts w:hint="eastAsia" w:ascii="Times New Roman" w:hAnsi="Times New Roman"/>
          <w:b/>
          <w:bCs/>
          <w:sz w:val="32"/>
          <w:szCs w:val="32"/>
          <w:lang w:val="en-US" w:eastAsia="zh-CN"/>
        </w:rPr>
        <w:t>10</w:t>
      </w:r>
    </w:p>
    <w:p>
      <w:pPr>
        <w:pStyle w:val="3"/>
        <w:jc w:val="left"/>
        <w:rPr>
          <w:rFonts w:ascii="Times New Roman" w:hAnsi="Times New Roman"/>
        </w:rPr>
      </w:pPr>
      <w:r>
        <w:rPr>
          <w:rFonts w:ascii="Times New Roman" w:hAnsi="Times New Roman"/>
        </w:rPr>
        <w:t>2、评分索引表</w:t>
      </w:r>
    </w:p>
    <w:p>
      <w:pPr>
        <w:jc w:val="center"/>
        <w:rPr>
          <w:rFonts w:ascii="Times New Roman" w:hAnsi="Times New Roman"/>
          <w:b/>
          <w:bCs/>
          <w:sz w:val="32"/>
          <w:szCs w:val="32"/>
        </w:rPr>
      </w:pPr>
      <w:r>
        <w:rPr>
          <w:rFonts w:ascii="Times New Roman" w:hAnsi="Times New Roman"/>
          <w:b/>
          <w:bCs/>
          <w:sz w:val="32"/>
          <w:szCs w:val="32"/>
        </w:rPr>
        <w:t>评分索引表</w:t>
      </w:r>
    </w:p>
    <w:tbl>
      <w:tblPr>
        <w:tblStyle w:val="51"/>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0"/>
        <w:gridCol w:w="35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670" w:type="dxa"/>
            <w:vAlign w:val="center"/>
          </w:tcPr>
          <w:p>
            <w:pPr>
              <w:pStyle w:val="179"/>
              <w:shd w:val="clear" w:color="auto" w:fill="FFFFFF"/>
              <w:spacing w:line="265" w:lineRule="atLeast"/>
              <w:ind w:left="420" w:firstLine="482"/>
              <w:jc w:val="center"/>
              <w:rPr>
                <w:rFonts w:ascii="Times New Roman" w:hAnsi="Times New Roman"/>
                <w:b/>
                <w:bCs/>
              </w:rPr>
            </w:pPr>
            <w:r>
              <w:rPr>
                <w:rFonts w:ascii="Times New Roman" w:hAnsi="Times New Roman"/>
                <w:b/>
              </w:rPr>
              <w:t>评分项目</w:t>
            </w:r>
          </w:p>
        </w:tc>
        <w:tc>
          <w:tcPr>
            <w:tcW w:w="3570" w:type="dxa"/>
            <w:vAlign w:val="center"/>
          </w:tcPr>
          <w:p>
            <w:pPr>
              <w:jc w:val="center"/>
              <w:rPr>
                <w:rFonts w:ascii="Times New Roman" w:hAnsi="Times New Roman"/>
                <w:b/>
              </w:rPr>
            </w:pPr>
            <w:r>
              <w:rPr>
                <w:rFonts w:ascii="Times New Roman" w:hAnsi="Times New Roman"/>
                <w:b/>
                <w:kern w:val="0"/>
                <w:lang w:bidi="en-US"/>
              </w:rPr>
              <w:t>在响应文件中的页码位置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670" w:type="dxa"/>
          </w:tcPr>
          <w:p>
            <w:pPr>
              <w:pStyle w:val="179"/>
              <w:shd w:val="clear" w:color="auto" w:fill="FFFFFF"/>
              <w:spacing w:line="265" w:lineRule="atLeast"/>
              <w:ind w:left="420" w:firstLine="482"/>
              <w:jc w:val="both"/>
              <w:rPr>
                <w:rFonts w:ascii="Times New Roman" w:hAnsi="Times New Roman"/>
                <w:b/>
              </w:rPr>
            </w:pPr>
          </w:p>
        </w:tc>
        <w:tc>
          <w:tcPr>
            <w:tcW w:w="3570" w:type="dxa"/>
          </w:tcPr>
          <w:p>
            <w:pPr>
              <w:rPr>
                <w:rFonts w:ascii="Times New Roman" w:hAnsi="Times New Roman"/>
                <w:b/>
                <w:kern w:val="0"/>
                <w:lang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670" w:type="dxa"/>
          </w:tcPr>
          <w:p>
            <w:pPr>
              <w:pStyle w:val="179"/>
              <w:shd w:val="clear" w:color="auto" w:fill="FFFFFF"/>
              <w:spacing w:line="265" w:lineRule="atLeast"/>
              <w:ind w:left="420" w:firstLine="480"/>
              <w:jc w:val="both"/>
              <w:rPr>
                <w:rFonts w:ascii="Times New Roman" w:hAnsi="Times New Roman"/>
              </w:rPr>
            </w:pPr>
          </w:p>
        </w:tc>
        <w:tc>
          <w:tcPr>
            <w:tcW w:w="3570" w:type="dxa"/>
          </w:tcPr>
          <w:p>
            <w:pPr>
              <w:pStyle w:val="179"/>
              <w:shd w:val="clear" w:color="auto" w:fill="FFFFFF"/>
              <w:spacing w:line="265" w:lineRule="atLeast"/>
              <w:ind w:left="420" w:firstLine="480"/>
              <w:jc w:val="both"/>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670" w:type="dxa"/>
          </w:tcPr>
          <w:p>
            <w:pPr>
              <w:pStyle w:val="179"/>
              <w:shd w:val="clear" w:color="auto" w:fill="FFFFFF"/>
              <w:spacing w:line="265" w:lineRule="atLeast"/>
              <w:ind w:left="420" w:firstLine="480"/>
              <w:rPr>
                <w:rFonts w:ascii="Times New Roman" w:hAnsi="Times New Roman"/>
              </w:rPr>
            </w:pPr>
          </w:p>
        </w:tc>
        <w:tc>
          <w:tcPr>
            <w:tcW w:w="3570" w:type="dxa"/>
          </w:tcPr>
          <w:p>
            <w:pP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670" w:type="dxa"/>
          </w:tcPr>
          <w:p>
            <w:pPr>
              <w:pStyle w:val="179"/>
              <w:shd w:val="clear" w:color="auto" w:fill="FFFFFF"/>
              <w:spacing w:line="265" w:lineRule="atLeast"/>
              <w:ind w:left="420" w:firstLine="480"/>
              <w:rPr>
                <w:rFonts w:ascii="Times New Roman" w:hAnsi="Times New Roman"/>
              </w:rPr>
            </w:pPr>
          </w:p>
        </w:tc>
        <w:tc>
          <w:tcPr>
            <w:tcW w:w="3570" w:type="dxa"/>
          </w:tcPr>
          <w:p>
            <w:pP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670" w:type="dxa"/>
          </w:tcPr>
          <w:p>
            <w:pPr>
              <w:pStyle w:val="179"/>
              <w:shd w:val="clear" w:color="auto" w:fill="FFFFFF"/>
              <w:spacing w:line="265" w:lineRule="atLeast"/>
              <w:ind w:left="420" w:firstLine="480"/>
              <w:rPr>
                <w:rFonts w:ascii="Times New Roman" w:hAnsi="Times New Roman"/>
              </w:rPr>
            </w:pPr>
          </w:p>
        </w:tc>
        <w:tc>
          <w:tcPr>
            <w:tcW w:w="3570" w:type="dxa"/>
          </w:tcPr>
          <w:p>
            <w:pP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670" w:type="dxa"/>
          </w:tcPr>
          <w:p>
            <w:pPr>
              <w:pStyle w:val="179"/>
              <w:shd w:val="clear" w:color="auto" w:fill="FFFFFF"/>
              <w:spacing w:line="265" w:lineRule="atLeast"/>
              <w:ind w:left="420" w:firstLine="480"/>
              <w:rPr>
                <w:rFonts w:ascii="Times New Roman" w:hAnsi="Times New Roman"/>
              </w:rPr>
            </w:pPr>
          </w:p>
        </w:tc>
        <w:tc>
          <w:tcPr>
            <w:tcW w:w="3570" w:type="dxa"/>
          </w:tcPr>
          <w:p>
            <w:pP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670" w:type="dxa"/>
          </w:tcPr>
          <w:p>
            <w:pPr>
              <w:pStyle w:val="179"/>
              <w:shd w:val="clear" w:color="auto" w:fill="FFFFFF"/>
              <w:spacing w:line="265" w:lineRule="atLeast"/>
              <w:ind w:left="420" w:firstLine="480"/>
              <w:rPr>
                <w:rFonts w:ascii="Times New Roman" w:hAnsi="Times New Roman"/>
              </w:rPr>
            </w:pPr>
          </w:p>
        </w:tc>
        <w:tc>
          <w:tcPr>
            <w:tcW w:w="3570" w:type="dxa"/>
          </w:tcPr>
          <w:p>
            <w:pP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670" w:type="dxa"/>
          </w:tcPr>
          <w:p>
            <w:pPr>
              <w:pStyle w:val="179"/>
              <w:shd w:val="clear" w:color="auto" w:fill="FFFFFF"/>
              <w:spacing w:line="265" w:lineRule="atLeast"/>
              <w:ind w:left="420" w:firstLine="480"/>
              <w:jc w:val="both"/>
              <w:rPr>
                <w:rFonts w:ascii="Times New Roman" w:hAnsi="Times New Roman"/>
              </w:rPr>
            </w:pPr>
          </w:p>
        </w:tc>
        <w:tc>
          <w:tcPr>
            <w:tcW w:w="3570" w:type="dxa"/>
          </w:tcPr>
          <w:p>
            <w:pPr>
              <w:pStyle w:val="179"/>
              <w:shd w:val="clear" w:color="auto" w:fill="FFFFFF"/>
              <w:spacing w:line="265" w:lineRule="atLeast"/>
              <w:ind w:left="420" w:firstLine="480"/>
              <w:jc w:val="both"/>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670" w:type="dxa"/>
          </w:tcPr>
          <w:p>
            <w:pPr>
              <w:pStyle w:val="179"/>
              <w:shd w:val="clear" w:color="auto" w:fill="FFFFFF"/>
              <w:spacing w:line="265" w:lineRule="atLeast"/>
              <w:ind w:left="420" w:firstLine="480"/>
              <w:rPr>
                <w:rFonts w:ascii="Times New Roman" w:hAnsi="Times New Roman"/>
              </w:rPr>
            </w:pPr>
          </w:p>
        </w:tc>
        <w:tc>
          <w:tcPr>
            <w:tcW w:w="3570" w:type="dxa"/>
          </w:tcPr>
          <w:p>
            <w:pP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670" w:type="dxa"/>
          </w:tcPr>
          <w:p>
            <w:pPr>
              <w:pStyle w:val="179"/>
              <w:shd w:val="clear" w:color="auto" w:fill="FFFFFF"/>
              <w:spacing w:line="265" w:lineRule="atLeast"/>
              <w:ind w:left="420" w:firstLine="480"/>
              <w:rPr>
                <w:rFonts w:ascii="Times New Roman" w:hAnsi="Times New Roman"/>
              </w:rPr>
            </w:pPr>
          </w:p>
        </w:tc>
        <w:tc>
          <w:tcPr>
            <w:tcW w:w="3570" w:type="dxa"/>
          </w:tcPr>
          <w:p>
            <w:pP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670" w:type="dxa"/>
          </w:tcPr>
          <w:p>
            <w:pPr>
              <w:pStyle w:val="179"/>
              <w:shd w:val="clear" w:color="auto" w:fill="FFFFFF"/>
              <w:spacing w:line="265" w:lineRule="atLeast"/>
              <w:ind w:left="420" w:firstLine="480"/>
              <w:rPr>
                <w:rFonts w:ascii="Times New Roman" w:hAnsi="Times New Roman"/>
              </w:rPr>
            </w:pPr>
          </w:p>
        </w:tc>
        <w:tc>
          <w:tcPr>
            <w:tcW w:w="3570" w:type="dxa"/>
          </w:tcPr>
          <w:p>
            <w:pP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670" w:type="dxa"/>
          </w:tcPr>
          <w:p>
            <w:pPr>
              <w:pStyle w:val="179"/>
              <w:shd w:val="clear" w:color="auto" w:fill="FFFFFF"/>
              <w:spacing w:line="265" w:lineRule="atLeast"/>
              <w:ind w:left="420" w:firstLine="480"/>
              <w:rPr>
                <w:rFonts w:ascii="Times New Roman" w:hAnsi="Times New Roman"/>
              </w:rPr>
            </w:pPr>
          </w:p>
        </w:tc>
        <w:tc>
          <w:tcPr>
            <w:tcW w:w="3570" w:type="dxa"/>
          </w:tcPr>
          <w:p>
            <w:pP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670" w:type="dxa"/>
          </w:tcPr>
          <w:p>
            <w:pPr>
              <w:pStyle w:val="179"/>
              <w:shd w:val="clear" w:color="auto" w:fill="FFFFFF"/>
              <w:spacing w:line="265" w:lineRule="atLeast"/>
              <w:ind w:left="420" w:firstLine="480"/>
              <w:rPr>
                <w:rFonts w:ascii="Times New Roman" w:hAnsi="Times New Roman"/>
              </w:rPr>
            </w:pPr>
          </w:p>
        </w:tc>
        <w:tc>
          <w:tcPr>
            <w:tcW w:w="3570" w:type="dxa"/>
          </w:tcPr>
          <w:p>
            <w:pP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670" w:type="dxa"/>
          </w:tcPr>
          <w:p>
            <w:pPr>
              <w:pStyle w:val="179"/>
              <w:shd w:val="clear" w:color="auto" w:fill="FFFFFF"/>
              <w:spacing w:line="265" w:lineRule="atLeast"/>
              <w:ind w:left="420" w:firstLine="482"/>
              <w:jc w:val="both"/>
              <w:rPr>
                <w:rFonts w:ascii="Times New Roman" w:hAnsi="Times New Roman"/>
                <w:b/>
              </w:rPr>
            </w:pPr>
          </w:p>
        </w:tc>
        <w:tc>
          <w:tcPr>
            <w:tcW w:w="3570" w:type="dxa"/>
          </w:tcPr>
          <w:p>
            <w:pPr>
              <w:pStyle w:val="179"/>
              <w:shd w:val="clear" w:color="auto" w:fill="FFFFFF"/>
              <w:spacing w:line="265" w:lineRule="atLeast"/>
              <w:ind w:left="420" w:firstLine="482"/>
              <w:jc w:val="both"/>
              <w:rPr>
                <w:rFonts w:ascii="Times New Roman" w:hAnsi="Times New Roman"/>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670" w:type="dxa"/>
          </w:tcPr>
          <w:p>
            <w:pPr>
              <w:pStyle w:val="179"/>
              <w:shd w:val="clear" w:color="auto" w:fill="FFFFFF"/>
              <w:spacing w:line="265" w:lineRule="atLeast"/>
              <w:ind w:left="420" w:firstLine="482"/>
              <w:rPr>
                <w:rFonts w:ascii="Times New Roman" w:hAnsi="Times New Roman"/>
                <w:b/>
                <w:bCs/>
              </w:rPr>
            </w:pPr>
          </w:p>
        </w:tc>
        <w:tc>
          <w:tcPr>
            <w:tcW w:w="3570" w:type="dxa"/>
          </w:tcPr>
          <w:p>
            <w:pP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670" w:type="dxa"/>
          </w:tcPr>
          <w:p>
            <w:pPr>
              <w:pStyle w:val="179"/>
              <w:shd w:val="clear" w:color="auto" w:fill="FFFFFF"/>
              <w:spacing w:line="265" w:lineRule="atLeast"/>
              <w:ind w:left="420" w:firstLine="480"/>
              <w:rPr>
                <w:rFonts w:ascii="Times New Roman" w:hAnsi="Times New Roman"/>
              </w:rPr>
            </w:pPr>
          </w:p>
        </w:tc>
        <w:tc>
          <w:tcPr>
            <w:tcW w:w="3570" w:type="dxa"/>
          </w:tcPr>
          <w:p>
            <w:pP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670" w:type="dxa"/>
          </w:tcPr>
          <w:p>
            <w:pPr>
              <w:pStyle w:val="179"/>
              <w:shd w:val="clear" w:color="auto" w:fill="FFFFFF"/>
              <w:spacing w:line="265" w:lineRule="atLeast"/>
              <w:ind w:left="420" w:firstLine="482"/>
              <w:rPr>
                <w:rFonts w:ascii="Times New Roman" w:hAnsi="Times New Roman"/>
                <w:b/>
                <w:bCs/>
              </w:rPr>
            </w:pPr>
          </w:p>
        </w:tc>
        <w:tc>
          <w:tcPr>
            <w:tcW w:w="3570" w:type="dxa"/>
          </w:tcPr>
          <w:p>
            <w:pP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670" w:type="dxa"/>
          </w:tcPr>
          <w:p>
            <w:pPr>
              <w:pStyle w:val="179"/>
              <w:shd w:val="clear" w:color="auto" w:fill="FFFFFF"/>
              <w:spacing w:line="265" w:lineRule="atLeast"/>
              <w:ind w:left="420" w:firstLine="482"/>
              <w:jc w:val="both"/>
              <w:rPr>
                <w:rFonts w:ascii="Times New Roman" w:hAnsi="Times New Roman"/>
                <w:b/>
              </w:rPr>
            </w:pPr>
          </w:p>
        </w:tc>
        <w:tc>
          <w:tcPr>
            <w:tcW w:w="3570" w:type="dxa"/>
          </w:tcPr>
          <w:p>
            <w:pPr>
              <w:pStyle w:val="179"/>
              <w:shd w:val="clear" w:color="auto" w:fill="FFFFFF"/>
              <w:spacing w:line="265" w:lineRule="atLeast"/>
              <w:ind w:left="420" w:firstLine="482"/>
              <w:jc w:val="both"/>
              <w:rPr>
                <w:rFonts w:ascii="Times New Roman" w:hAnsi="Times New Roman"/>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670" w:type="dxa"/>
          </w:tcPr>
          <w:p>
            <w:pPr>
              <w:pStyle w:val="179"/>
              <w:shd w:val="clear" w:color="auto" w:fill="FFFFFF"/>
              <w:spacing w:line="265" w:lineRule="atLeast"/>
              <w:ind w:firstLine="480"/>
              <w:rPr>
                <w:rFonts w:ascii="Times New Roman" w:hAnsi="Times New Roman"/>
                <w:szCs w:val="21"/>
              </w:rPr>
            </w:pPr>
          </w:p>
        </w:tc>
        <w:tc>
          <w:tcPr>
            <w:tcW w:w="3570" w:type="dxa"/>
          </w:tcPr>
          <w:p>
            <w:pP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670" w:type="dxa"/>
            <w:tcBorders>
              <w:bottom w:val="single" w:color="auto" w:sz="4" w:space="0"/>
            </w:tcBorders>
          </w:tcPr>
          <w:p>
            <w:pPr>
              <w:pStyle w:val="179"/>
              <w:shd w:val="clear" w:color="auto" w:fill="FFFFFF"/>
              <w:spacing w:line="265" w:lineRule="atLeast"/>
              <w:ind w:firstLine="480"/>
              <w:rPr>
                <w:rFonts w:ascii="Times New Roman" w:hAnsi="Times New Roman"/>
              </w:rPr>
            </w:pPr>
          </w:p>
        </w:tc>
        <w:tc>
          <w:tcPr>
            <w:tcW w:w="3570" w:type="dxa"/>
            <w:tcBorders>
              <w:bottom w:val="single" w:color="auto" w:sz="4" w:space="0"/>
            </w:tcBorders>
          </w:tcPr>
          <w:p>
            <w:pPr>
              <w:rPr>
                <w:rFonts w:ascii="Times New Roman" w:hAnsi="Times New Roman"/>
              </w:rPr>
            </w:pPr>
          </w:p>
        </w:tc>
      </w:tr>
    </w:tbl>
    <w:p>
      <w:pPr>
        <w:jc w:val="center"/>
        <w:rPr>
          <w:rFonts w:ascii="Times New Roman" w:hAnsi="Times New Roman"/>
          <w:b/>
          <w:bCs/>
          <w:sz w:val="32"/>
          <w:szCs w:val="32"/>
        </w:rPr>
      </w:pPr>
    </w:p>
    <w:p>
      <w:pPr>
        <w:rPr>
          <w:rFonts w:ascii="Times New Roman" w:hAnsi="Times New Roman"/>
        </w:rPr>
        <w:sectPr>
          <w:headerReference r:id="rId14" w:type="first"/>
          <w:footerReference r:id="rId17" w:type="first"/>
          <w:headerReference r:id="rId12" w:type="default"/>
          <w:footerReference r:id="rId15" w:type="default"/>
          <w:headerReference r:id="rId13" w:type="even"/>
          <w:footerReference r:id="rId16" w:type="even"/>
          <w:type w:val="nextColumn"/>
          <w:pgSz w:w="11907" w:h="16840"/>
          <w:pgMar w:top="822" w:right="947" w:bottom="822" w:left="947" w:header="850" w:footer="340" w:gutter="0"/>
          <w:cols w:space="720" w:num="1"/>
          <w:titlePg/>
          <w:docGrid w:linePitch="326" w:charSpace="0"/>
        </w:sectPr>
      </w:pPr>
    </w:p>
    <w:p>
      <w:pPr>
        <w:pStyle w:val="3"/>
        <w:jc w:val="left"/>
        <w:rPr>
          <w:rFonts w:ascii="Times New Roman" w:hAnsi="Times New Roman"/>
        </w:rPr>
      </w:pPr>
      <w:r>
        <w:rPr>
          <w:rFonts w:ascii="Times New Roman" w:hAnsi="Times New Roman"/>
        </w:rPr>
        <w:t>3、目录</w:t>
      </w:r>
    </w:p>
    <w:p>
      <w:pPr>
        <w:jc w:val="center"/>
        <w:rPr>
          <w:rFonts w:ascii="Times New Roman" w:hAnsi="Times New Roman"/>
          <w:b/>
          <w:bCs/>
          <w:sz w:val="32"/>
          <w:szCs w:val="32"/>
        </w:rPr>
      </w:pPr>
      <w:r>
        <w:rPr>
          <w:rFonts w:ascii="Times New Roman" w:hAnsi="Times New Roman"/>
          <w:b/>
          <w:bCs/>
          <w:sz w:val="32"/>
          <w:szCs w:val="32"/>
        </w:rPr>
        <w:t>目   录</w:t>
      </w:r>
    </w:p>
    <w:p>
      <w:pPr>
        <w:jc w:val="center"/>
        <w:rPr>
          <w:rFonts w:ascii="Times New Roman" w:hAnsi="Times New Roman"/>
          <w:b/>
          <w:bCs/>
          <w:sz w:val="32"/>
          <w:szCs w:val="32"/>
        </w:rPr>
      </w:pPr>
    </w:p>
    <w:p>
      <w:pPr>
        <w:rPr>
          <w:rStyle w:val="59"/>
          <w:rFonts w:ascii="Times New Roman" w:hAnsi="Times New Roman"/>
          <w:color w:val="auto"/>
          <w:szCs w:val="24"/>
          <w:u w:val="none"/>
        </w:rPr>
      </w:pPr>
      <w:r>
        <w:rPr>
          <w:rStyle w:val="59"/>
          <w:rFonts w:ascii="Times New Roman" w:hAnsi="Times New Roman"/>
          <w:color w:val="auto"/>
          <w:szCs w:val="24"/>
          <w:u w:val="none"/>
        </w:rPr>
        <w:t>1 响应函</w:t>
      </w:r>
    </w:p>
    <w:p>
      <w:pPr>
        <w:rPr>
          <w:rStyle w:val="59"/>
          <w:rFonts w:ascii="Times New Roman" w:hAnsi="Times New Roman"/>
          <w:color w:val="auto"/>
          <w:szCs w:val="24"/>
          <w:u w:val="none"/>
        </w:rPr>
      </w:pPr>
      <w:r>
        <w:rPr>
          <w:rStyle w:val="59"/>
          <w:rFonts w:ascii="Times New Roman" w:hAnsi="Times New Roman"/>
          <w:color w:val="auto"/>
          <w:szCs w:val="24"/>
          <w:u w:val="none"/>
        </w:rPr>
        <w:t>2 报价一览表</w:t>
      </w:r>
    </w:p>
    <w:p>
      <w:pPr>
        <w:rPr>
          <w:rFonts w:ascii="Times New Roman" w:hAnsi="Times New Roman"/>
          <w:szCs w:val="24"/>
        </w:rPr>
      </w:pPr>
      <w:r>
        <w:rPr>
          <w:rStyle w:val="59"/>
          <w:rFonts w:ascii="Times New Roman" w:hAnsi="Times New Roman"/>
          <w:color w:val="auto"/>
          <w:szCs w:val="24"/>
          <w:u w:val="none"/>
        </w:rPr>
        <w:t>4</w:t>
      </w:r>
      <w:r>
        <w:rPr>
          <w:rFonts w:ascii="Times New Roman" w:hAnsi="Times New Roman"/>
          <w:szCs w:val="24"/>
        </w:rPr>
        <w:t>项目业绩</w:t>
      </w:r>
    </w:p>
    <w:p>
      <w:pPr>
        <w:rPr>
          <w:rFonts w:ascii="Times New Roman" w:hAnsi="Times New Roman"/>
        </w:rPr>
      </w:pPr>
      <w:r>
        <w:rPr>
          <w:rFonts w:ascii="Times New Roman" w:hAnsi="Times New Roman"/>
          <w:szCs w:val="24"/>
        </w:rPr>
        <w:t>5</w:t>
      </w:r>
      <w:r>
        <w:rPr>
          <w:rFonts w:hint="eastAsia" w:ascii="Times New Roman" w:hAnsi="Times New Roman"/>
          <w:szCs w:val="24"/>
          <w:lang w:eastAsia="zh-CN"/>
        </w:rPr>
        <w:t>装修设计理念展示</w:t>
      </w:r>
      <w:r>
        <w:rPr>
          <w:rStyle w:val="59"/>
          <w:rFonts w:ascii="Times New Roman" w:hAnsi="Times New Roman"/>
          <w:color w:val="auto"/>
          <w:szCs w:val="24"/>
          <w:u w:val="none"/>
        </w:rPr>
        <w:t>（格式自拟）</w:t>
      </w:r>
    </w:p>
    <w:p>
      <w:pPr>
        <w:rPr>
          <w:rFonts w:ascii="Times New Roman" w:hAnsi="Times New Roman"/>
          <w:szCs w:val="24"/>
        </w:rPr>
      </w:pPr>
      <w:r>
        <w:rPr>
          <w:rFonts w:ascii="Times New Roman" w:hAnsi="Times New Roman"/>
        </w:rPr>
        <w:t>6</w:t>
      </w:r>
      <w:r>
        <w:rPr>
          <w:rFonts w:hint="eastAsia" w:ascii="Times New Roman" w:hAnsi="Times New Roman"/>
          <w:szCs w:val="24"/>
          <w:lang w:eastAsia="zh-CN"/>
        </w:rPr>
        <w:t>设备技术服务方案</w:t>
      </w:r>
      <w:r>
        <w:rPr>
          <w:rStyle w:val="59"/>
          <w:rFonts w:ascii="Times New Roman" w:hAnsi="Times New Roman"/>
          <w:color w:val="auto"/>
          <w:szCs w:val="24"/>
          <w:u w:val="none"/>
        </w:rPr>
        <w:t>（格式自拟）</w:t>
      </w:r>
    </w:p>
    <w:p>
      <w:pPr>
        <w:rPr>
          <w:rFonts w:ascii="Times New Roman" w:hAnsi="Times New Roman"/>
          <w:color w:val="000000" w:themeColor="text1"/>
          <w:szCs w:val="24"/>
        </w:rPr>
      </w:pPr>
      <w:r>
        <w:rPr>
          <w:rFonts w:ascii="Times New Roman" w:hAnsi="Times New Roman"/>
          <w:szCs w:val="24"/>
        </w:rPr>
        <w:t>7</w:t>
      </w:r>
      <w:r>
        <w:rPr>
          <w:rFonts w:ascii="Times New Roman" w:hAnsi="Times New Roman"/>
          <w:color w:val="000000" w:themeColor="text1"/>
          <w:szCs w:val="24"/>
        </w:rPr>
        <w:t>服务方案</w:t>
      </w:r>
      <w:r>
        <w:rPr>
          <w:rStyle w:val="59"/>
          <w:rFonts w:ascii="Times New Roman" w:hAnsi="Times New Roman"/>
          <w:color w:val="auto"/>
          <w:szCs w:val="24"/>
          <w:u w:val="none"/>
        </w:rPr>
        <w:t>（格式自拟）</w:t>
      </w:r>
    </w:p>
    <w:p>
      <w:pPr>
        <w:rPr>
          <w:rStyle w:val="59"/>
          <w:rFonts w:ascii="Times New Roman" w:hAnsi="Times New Roman"/>
          <w:color w:val="auto"/>
          <w:szCs w:val="24"/>
          <w:u w:val="none"/>
        </w:rPr>
      </w:pPr>
      <w:r>
        <w:rPr>
          <w:rFonts w:ascii="Times New Roman" w:hAnsi="Times New Roman"/>
          <w:color w:val="000000" w:themeColor="text1"/>
          <w:szCs w:val="24"/>
        </w:rPr>
        <w:t>8相关承诺</w:t>
      </w:r>
      <w:r>
        <w:rPr>
          <w:rStyle w:val="59"/>
          <w:rFonts w:ascii="Times New Roman" w:hAnsi="Times New Roman"/>
          <w:color w:val="auto"/>
          <w:szCs w:val="24"/>
          <w:u w:val="none"/>
        </w:rPr>
        <w:t>（格式自拟）</w:t>
      </w:r>
    </w:p>
    <w:p>
      <w:pPr>
        <w:rPr>
          <w:rStyle w:val="59"/>
          <w:rFonts w:ascii="Times New Roman" w:hAnsi="Times New Roman"/>
          <w:color w:val="auto"/>
          <w:szCs w:val="24"/>
          <w:u w:val="none"/>
        </w:rPr>
      </w:pPr>
      <w:r>
        <w:rPr>
          <w:rStyle w:val="59"/>
          <w:rFonts w:ascii="Times New Roman" w:hAnsi="Times New Roman"/>
          <w:color w:val="auto"/>
          <w:szCs w:val="24"/>
          <w:u w:val="none"/>
        </w:rPr>
        <w:t>9采购需求偏离表（如有）</w:t>
      </w:r>
    </w:p>
    <w:p>
      <w:pPr>
        <w:rPr>
          <w:rStyle w:val="59"/>
          <w:rFonts w:ascii="Times New Roman" w:hAnsi="Times New Roman"/>
          <w:color w:val="auto"/>
          <w:szCs w:val="24"/>
          <w:u w:val="none"/>
        </w:rPr>
      </w:pPr>
      <w:r>
        <w:rPr>
          <w:rStyle w:val="59"/>
          <w:rFonts w:ascii="Times New Roman" w:hAnsi="Times New Roman"/>
          <w:color w:val="auto"/>
          <w:szCs w:val="24"/>
          <w:u w:val="none"/>
        </w:rPr>
        <w:t>10 法定代表人委托书</w:t>
      </w:r>
    </w:p>
    <w:p>
      <w:pPr>
        <w:rPr>
          <w:rStyle w:val="59"/>
          <w:rFonts w:ascii="Times New Roman" w:hAnsi="Times New Roman"/>
          <w:color w:val="auto"/>
          <w:szCs w:val="24"/>
          <w:u w:val="none"/>
        </w:rPr>
      </w:pPr>
      <w:r>
        <w:rPr>
          <w:rStyle w:val="59"/>
          <w:rFonts w:ascii="Times New Roman" w:hAnsi="Times New Roman"/>
          <w:color w:val="auto"/>
          <w:szCs w:val="24"/>
          <w:u w:val="none"/>
        </w:rPr>
        <w:t>11 资格证明文件</w:t>
      </w:r>
    </w:p>
    <w:p>
      <w:pPr>
        <w:rPr>
          <w:rStyle w:val="59"/>
          <w:rFonts w:ascii="Times New Roman" w:hAnsi="Times New Roman"/>
          <w:color w:val="auto"/>
          <w:szCs w:val="24"/>
          <w:u w:val="none"/>
        </w:rPr>
      </w:pPr>
      <w:r>
        <w:rPr>
          <w:rStyle w:val="59"/>
          <w:rFonts w:ascii="Times New Roman" w:hAnsi="Times New Roman"/>
          <w:color w:val="auto"/>
          <w:szCs w:val="24"/>
          <w:u w:val="none"/>
        </w:rPr>
        <w:t>12</w:t>
      </w:r>
      <w:r>
        <w:rPr>
          <w:rStyle w:val="59"/>
          <w:rFonts w:hint="eastAsia" w:ascii="Times New Roman" w:hAnsi="Times New Roman"/>
          <w:color w:val="auto"/>
          <w:szCs w:val="24"/>
          <w:u w:val="none"/>
        </w:rPr>
        <w:t xml:space="preserve"> 其它</w:t>
      </w:r>
    </w:p>
    <w:p>
      <w:pPr>
        <w:rPr>
          <w:rFonts w:ascii="Times New Roman" w:hAnsi="Times New Roman"/>
        </w:rPr>
      </w:pPr>
    </w:p>
    <w:p>
      <w:pPr>
        <w:keepNext/>
        <w:keepLines/>
        <w:spacing w:before="120" w:after="120"/>
        <w:outlineLvl w:val="2"/>
        <w:rPr>
          <w:rFonts w:ascii="Times New Roman" w:hAnsi="Times New Roman"/>
          <w:b/>
          <w:kern w:val="0"/>
          <w:sz w:val="20"/>
        </w:rPr>
        <w:sectPr>
          <w:headerReference r:id="rId18" w:type="default"/>
          <w:type w:val="nextColumn"/>
          <w:pgSz w:w="11907" w:h="16840"/>
          <w:pgMar w:top="1134" w:right="1134" w:bottom="1134" w:left="1134" w:header="851" w:footer="680" w:gutter="0"/>
          <w:cols w:space="720" w:num="1"/>
          <w:docGrid w:linePitch="326" w:charSpace="0"/>
        </w:sectPr>
      </w:pPr>
      <w:bookmarkStart w:id="191" w:name="_Toc47261683"/>
      <w:bookmarkStart w:id="192" w:name="_Toc47261878"/>
      <w:bookmarkStart w:id="193" w:name="_Toc47262062"/>
      <w:bookmarkStart w:id="194" w:name="_Toc47418248"/>
      <w:bookmarkStart w:id="195" w:name="_Toc47418724"/>
      <w:bookmarkStart w:id="196" w:name="_Toc47418931"/>
      <w:bookmarkStart w:id="197" w:name="_Toc48791228"/>
      <w:bookmarkStart w:id="198" w:name="_Toc48995844"/>
      <w:bookmarkStart w:id="199" w:name="_Toc49019229"/>
      <w:bookmarkStart w:id="200" w:name="_Toc146011778"/>
      <w:bookmarkStart w:id="201" w:name="_Toc153353715"/>
      <w:bookmarkStart w:id="202" w:name="_Toc155772030"/>
      <w:bookmarkStart w:id="203" w:name="_Toc155772922"/>
      <w:bookmarkStart w:id="204" w:name="_Toc193858788"/>
      <w:bookmarkStart w:id="205" w:name="_Toc195427222"/>
      <w:bookmarkStart w:id="206" w:name="_Toc243680606"/>
      <w:bookmarkStart w:id="207" w:name="_Toc243946199"/>
      <w:bookmarkStart w:id="208" w:name="_Toc245740648"/>
    </w:p>
    <w:p>
      <w:pPr>
        <w:pStyle w:val="3"/>
        <w:jc w:val="left"/>
        <w:rPr>
          <w:rFonts w:ascii="Times New Roman" w:hAnsi="Times New Roman"/>
        </w:rPr>
      </w:pPr>
      <w:r>
        <w:rPr>
          <w:rFonts w:ascii="Times New Roman" w:hAnsi="Times New Roman"/>
        </w:rPr>
        <w:t>4、响应函格式</w:t>
      </w:r>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p>
    <w:p>
      <w:pPr>
        <w:jc w:val="center"/>
        <w:rPr>
          <w:rFonts w:ascii="Times New Roman" w:hAnsi="Times New Roman"/>
          <w:b/>
          <w:bCs/>
          <w:sz w:val="32"/>
          <w:szCs w:val="32"/>
        </w:rPr>
      </w:pPr>
      <w:r>
        <w:rPr>
          <w:rFonts w:ascii="Times New Roman" w:hAnsi="Times New Roman"/>
          <w:b/>
          <w:bCs/>
          <w:sz w:val="32"/>
          <w:szCs w:val="32"/>
        </w:rPr>
        <w:t>响应函</w:t>
      </w:r>
    </w:p>
    <w:p>
      <w:pPr>
        <w:rPr>
          <w:rFonts w:ascii="Times New Roman" w:hAnsi="Times New Roman"/>
          <w:szCs w:val="24"/>
        </w:rPr>
      </w:pPr>
      <w:r>
        <w:rPr>
          <w:rFonts w:ascii="Times New Roman" w:hAnsi="Times New Roman"/>
          <w:szCs w:val="24"/>
        </w:rPr>
        <w:t>致：</w:t>
      </w:r>
      <w:r>
        <w:rPr>
          <w:rFonts w:ascii="Times New Roman" w:hAnsi="Times New Roman"/>
          <w:shd w:val="clear" w:color="auto" w:fill="FFFFFF"/>
        </w:rPr>
        <w:t>江苏食品药品职业技术学院</w:t>
      </w:r>
    </w:p>
    <w:p>
      <w:pPr>
        <w:ind w:firstLine="480" w:firstLineChars="200"/>
        <w:rPr>
          <w:rFonts w:ascii="Times New Roman" w:hAnsi="Times New Roman"/>
          <w:szCs w:val="24"/>
        </w:rPr>
      </w:pPr>
      <w:r>
        <w:rPr>
          <w:rFonts w:ascii="Times New Roman" w:hAnsi="Times New Roman"/>
          <w:szCs w:val="24"/>
        </w:rPr>
        <w:t>根据贵方为</w:t>
      </w:r>
      <w:r>
        <w:rPr>
          <w:rFonts w:hint="eastAsia" w:ascii="Times New Roman" w:hAnsi="Times New Roman"/>
          <w:szCs w:val="24"/>
          <w:u w:val="single"/>
          <w:lang w:eastAsia="zh-CN"/>
        </w:rPr>
        <w:t>学生公寓洗衣机投资经营服务</w:t>
      </w:r>
      <w:r>
        <w:rPr>
          <w:rFonts w:ascii="Times New Roman" w:hAnsi="Times New Roman"/>
          <w:szCs w:val="24"/>
          <w:u w:val="single"/>
        </w:rPr>
        <w:t>项目</w:t>
      </w:r>
      <w:r>
        <w:rPr>
          <w:rFonts w:ascii="Times New Roman" w:hAnsi="Times New Roman"/>
          <w:szCs w:val="24"/>
        </w:rPr>
        <w:t>采购的报价邀请</w:t>
      </w:r>
      <w:r>
        <w:rPr>
          <w:rFonts w:ascii="Times New Roman" w:hAnsi="Times New Roman"/>
          <w:szCs w:val="24"/>
          <w:u w:val="single"/>
        </w:rPr>
        <w:t>JSSP2020</w:t>
      </w:r>
      <w:r>
        <w:rPr>
          <w:rFonts w:hint="eastAsia" w:ascii="Times New Roman" w:hAnsi="Times New Roman"/>
          <w:szCs w:val="24"/>
          <w:u w:val="single"/>
          <w:lang w:val="en-US" w:eastAsia="zh-CN"/>
        </w:rPr>
        <w:t>ZY</w:t>
      </w:r>
      <w:r>
        <w:rPr>
          <w:rFonts w:ascii="Times New Roman" w:hAnsi="Times New Roman"/>
          <w:szCs w:val="24"/>
          <w:u w:val="single"/>
        </w:rPr>
        <w:t>0</w:t>
      </w:r>
      <w:r>
        <w:rPr>
          <w:rFonts w:hint="eastAsia" w:ascii="Times New Roman" w:hAnsi="Times New Roman"/>
          <w:szCs w:val="24"/>
          <w:u w:val="single"/>
          <w:lang w:val="en-US" w:eastAsia="zh-CN"/>
        </w:rPr>
        <w:t>01</w:t>
      </w:r>
      <w:r>
        <w:rPr>
          <w:rFonts w:ascii="Times New Roman" w:hAnsi="Times New Roman"/>
          <w:szCs w:val="24"/>
          <w:u w:val="single"/>
        </w:rPr>
        <w:t>X</w:t>
      </w:r>
      <w:r>
        <w:rPr>
          <w:rFonts w:ascii="Times New Roman" w:hAnsi="Times New Roman"/>
          <w:szCs w:val="24"/>
        </w:rPr>
        <w:t>，签字代表</w:t>
      </w:r>
      <w:r>
        <w:rPr>
          <w:rFonts w:ascii="Times New Roman" w:hAnsi="Times New Roman"/>
          <w:szCs w:val="24"/>
          <w:u w:val="single"/>
        </w:rPr>
        <w:t>（姓名、职务）</w:t>
      </w:r>
      <w:r>
        <w:rPr>
          <w:rFonts w:ascii="Times New Roman" w:hAnsi="Times New Roman"/>
          <w:szCs w:val="24"/>
        </w:rPr>
        <w:t>经正式授权并代表响应人</w:t>
      </w:r>
      <w:r>
        <w:rPr>
          <w:rFonts w:ascii="Times New Roman" w:hAnsi="Times New Roman"/>
          <w:szCs w:val="24"/>
          <w:u w:val="single"/>
        </w:rPr>
        <w:t>（供应商名称、地址）</w:t>
      </w:r>
      <w:r>
        <w:rPr>
          <w:rFonts w:ascii="Times New Roman" w:hAnsi="Times New Roman"/>
          <w:szCs w:val="24"/>
        </w:rPr>
        <w:t>提交下述文件正本一份、副本份（不退）。</w:t>
      </w:r>
    </w:p>
    <w:p>
      <w:pPr>
        <w:ind w:firstLine="360" w:firstLineChars="150"/>
        <w:rPr>
          <w:rStyle w:val="59"/>
          <w:rFonts w:ascii="Times New Roman" w:hAnsi="Times New Roman"/>
          <w:color w:val="auto"/>
          <w:szCs w:val="24"/>
          <w:u w:val="none"/>
        </w:rPr>
      </w:pPr>
      <w:r>
        <w:rPr>
          <w:rStyle w:val="59"/>
          <w:rFonts w:ascii="Times New Roman" w:hAnsi="Times New Roman"/>
          <w:color w:val="auto"/>
          <w:szCs w:val="24"/>
          <w:u w:val="none"/>
        </w:rPr>
        <w:t>1 报价一览表</w:t>
      </w:r>
    </w:p>
    <w:p>
      <w:pPr>
        <w:ind w:firstLine="360" w:firstLineChars="150"/>
        <w:rPr>
          <w:rStyle w:val="59"/>
          <w:rFonts w:ascii="Times New Roman" w:hAnsi="Times New Roman"/>
          <w:color w:val="auto"/>
          <w:szCs w:val="24"/>
          <w:u w:val="none"/>
        </w:rPr>
      </w:pPr>
      <w:r>
        <w:rPr>
          <w:rStyle w:val="59"/>
          <w:rFonts w:hint="eastAsia" w:ascii="Times New Roman" w:hAnsi="Times New Roman"/>
          <w:color w:val="auto"/>
          <w:szCs w:val="24"/>
          <w:u w:val="none"/>
          <w:lang w:val="en-US" w:eastAsia="zh-CN"/>
        </w:rPr>
        <w:t>2</w:t>
      </w:r>
      <w:r>
        <w:rPr>
          <w:rStyle w:val="59"/>
          <w:rFonts w:ascii="Times New Roman" w:hAnsi="Times New Roman"/>
          <w:color w:val="auto"/>
          <w:szCs w:val="24"/>
          <w:u w:val="none"/>
        </w:rPr>
        <w:t xml:space="preserve"> 采购需求偏离表</w:t>
      </w:r>
    </w:p>
    <w:p>
      <w:pPr>
        <w:ind w:firstLine="360" w:firstLineChars="150"/>
        <w:rPr>
          <w:rStyle w:val="59"/>
          <w:rFonts w:ascii="Times New Roman" w:hAnsi="Times New Roman"/>
          <w:color w:val="auto"/>
          <w:szCs w:val="24"/>
          <w:u w:val="none"/>
        </w:rPr>
      </w:pPr>
      <w:r>
        <w:rPr>
          <w:rStyle w:val="59"/>
          <w:rFonts w:hint="eastAsia" w:ascii="Times New Roman" w:hAnsi="Times New Roman"/>
          <w:color w:val="auto"/>
          <w:szCs w:val="24"/>
          <w:u w:val="none"/>
          <w:lang w:val="en-US" w:eastAsia="zh-CN"/>
        </w:rPr>
        <w:t>3</w:t>
      </w:r>
      <w:r>
        <w:rPr>
          <w:rStyle w:val="59"/>
          <w:rFonts w:ascii="Times New Roman" w:hAnsi="Times New Roman"/>
          <w:color w:val="auto"/>
          <w:szCs w:val="24"/>
          <w:u w:val="none"/>
        </w:rPr>
        <w:t xml:space="preserve"> 法定代表人委托书</w:t>
      </w:r>
    </w:p>
    <w:p>
      <w:pPr>
        <w:ind w:firstLine="360" w:firstLineChars="150"/>
        <w:rPr>
          <w:rStyle w:val="59"/>
          <w:rFonts w:ascii="Times New Roman" w:hAnsi="Times New Roman"/>
          <w:color w:val="auto"/>
          <w:szCs w:val="24"/>
          <w:u w:val="none"/>
        </w:rPr>
      </w:pPr>
      <w:r>
        <w:rPr>
          <w:rStyle w:val="59"/>
          <w:rFonts w:hint="eastAsia" w:ascii="Times New Roman" w:hAnsi="Times New Roman"/>
          <w:color w:val="auto"/>
          <w:szCs w:val="24"/>
          <w:u w:val="none"/>
          <w:lang w:val="en-US" w:eastAsia="zh-CN"/>
        </w:rPr>
        <w:t>4</w:t>
      </w:r>
      <w:r>
        <w:rPr>
          <w:rStyle w:val="59"/>
          <w:rFonts w:ascii="Times New Roman" w:hAnsi="Times New Roman"/>
          <w:color w:val="auto"/>
          <w:szCs w:val="24"/>
          <w:u w:val="none"/>
        </w:rPr>
        <w:t xml:space="preserve"> 资格证明文件</w:t>
      </w:r>
    </w:p>
    <w:p>
      <w:pPr>
        <w:ind w:firstLine="360" w:firstLineChars="150"/>
        <w:rPr>
          <w:rStyle w:val="59"/>
          <w:rFonts w:ascii="Times New Roman" w:hAnsi="Times New Roman"/>
          <w:color w:val="auto"/>
          <w:szCs w:val="24"/>
          <w:u w:val="none"/>
        </w:rPr>
      </w:pPr>
      <w:r>
        <w:rPr>
          <w:rStyle w:val="59"/>
          <w:rFonts w:hint="eastAsia" w:ascii="Times New Roman" w:hAnsi="Times New Roman"/>
          <w:color w:val="auto"/>
          <w:szCs w:val="24"/>
          <w:u w:val="none"/>
          <w:lang w:val="en-US" w:eastAsia="zh-CN"/>
        </w:rPr>
        <w:t>5</w:t>
      </w:r>
      <w:r>
        <w:rPr>
          <w:rStyle w:val="59"/>
          <w:rFonts w:hint="eastAsia" w:ascii="Times New Roman" w:hAnsi="Times New Roman"/>
          <w:color w:val="auto"/>
          <w:szCs w:val="24"/>
          <w:u w:val="none"/>
        </w:rPr>
        <w:t xml:space="preserve"> 其它</w:t>
      </w:r>
    </w:p>
    <w:p>
      <w:pPr>
        <w:numPr>
          <w:ilvl w:val="0"/>
          <w:numId w:val="8"/>
        </w:numPr>
        <w:ind w:left="0" w:firstLine="480" w:firstLineChars="200"/>
        <w:rPr>
          <w:rFonts w:ascii="Times New Roman" w:hAnsi="Times New Roman"/>
          <w:szCs w:val="24"/>
        </w:rPr>
      </w:pPr>
      <w:r>
        <w:rPr>
          <w:rFonts w:ascii="Times New Roman" w:hAnsi="Times New Roman"/>
          <w:szCs w:val="24"/>
        </w:rPr>
        <w:t>遵守国家有关法律、法规和规章，按采购文件中供应商须知和技术规格要求提供的有关文件</w:t>
      </w:r>
    </w:p>
    <w:p>
      <w:pPr>
        <w:numPr>
          <w:ilvl w:val="0"/>
          <w:numId w:val="8"/>
        </w:numPr>
        <w:ind w:left="0" w:firstLine="480" w:firstLineChars="200"/>
        <w:rPr>
          <w:rFonts w:ascii="Times New Roman" w:hAnsi="Times New Roman"/>
          <w:szCs w:val="24"/>
        </w:rPr>
      </w:pPr>
      <w:r>
        <w:rPr>
          <w:rFonts w:ascii="Times New Roman" w:hAnsi="Times New Roman"/>
          <w:szCs w:val="24"/>
        </w:rPr>
        <w:t>以形式出具的保证金，金额为人民币元。</w:t>
      </w:r>
    </w:p>
    <w:p>
      <w:pPr>
        <w:rPr>
          <w:rFonts w:ascii="Times New Roman" w:hAnsi="Times New Roman"/>
          <w:szCs w:val="24"/>
        </w:rPr>
      </w:pPr>
      <w:r>
        <w:rPr>
          <w:rFonts w:ascii="Times New Roman" w:hAnsi="Times New Roman"/>
          <w:szCs w:val="24"/>
        </w:rPr>
        <w:t>在此，签字代表宣布同意如下：</w:t>
      </w:r>
    </w:p>
    <w:p>
      <w:pPr>
        <w:numPr>
          <w:ilvl w:val="1"/>
          <w:numId w:val="9"/>
        </w:numPr>
        <w:ind w:left="0" w:firstLine="480" w:firstLineChars="200"/>
        <w:rPr>
          <w:rFonts w:ascii="Times New Roman" w:hAnsi="Times New Roman"/>
          <w:szCs w:val="24"/>
        </w:rPr>
      </w:pPr>
      <w:r>
        <w:rPr>
          <w:rFonts w:ascii="Times New Roman" w:hAnsi="Times New Roman"/>
          <w:szCs w:val="24"/>
        </w:rPr>
        <w:t xml:space="preserve">所附报价一览表中规定的应提交和交付的工程总价为项目 </w:t>
      </w:r>
      <w:r>
        <w:rPr>
          <w:rFonts w:ascii="Times New Roman" w:hAnsi="Times New Roman"/>
          <w:szCs w:val="24"/>
          <w:u w:val="single"/>
        </w:rPr>
        <w:t>元，（并同时用文字和数字表示的投标报价）</w:t>
      </w:r>
      <w:r>
        <w:rPr>
          <w:rFonts w:ascii="Times New Roman" w:hAnsi="Times New Roman"/>
          <w:szCs w:val="24"/>
        </w:rPr>
        <w:t>。</w:t>
      </w:r>
    </w:p>
    <w:p>
      <w:pPr>
        <w:numPr>
          <w:ilvl w:val="1"/>
          <w:numId w:val="9"/>
        </w:numPr>
        <w:ind w:left="0" w:firstLine="480" w:firstLineChars="200"/>
        <w:rPr>
          <w:rFonts w:ascii="Times New Roman" w:hAnsi="Times New Roman"/>
          <w:szCs w:val="24"/>
        </w:rPr>
      </w:pPr>
      <w:r>
        <w:rPr>
          <w:rFonts w:ascii="Times New Roman" w:hAnsi="Times New Roman"/>
          <w:szCs w:val="24"/>
        </w:rPr>
        <w:t>我方将按采购文件的规定履行合同责任和义务。</w:t>
      </w:r>
    </w:p>
    <w:p>
      <w:pPr>
        <w:numPr>
          <w:ilvl w:val="1"/>
          <w:numId w:val="9"/>
        </w:numPr>
        <w:ind w:left="0" w:firstLine="480" w:firstLineChars="200"/>
        <w:rPr>
          <w:rFonts w:ascii="Times New Roman" w:hAnsi="Times New Roman"/>
          <w:szCs w:val="24"/>
        </w:rPr>
      </w:pPr>
      <w:r>
        <w:rPr>
          <w:rFonts w:ascii="Times New Roman" w:hAnsi="Times New Roman"/>
          <w:szCs w:val="24"/>
        </w:rPr>
        <w:t>我方已详细审查全部采购文件。我方完全理解并同意放弃对这方面有不明及误解的权利。</w:t>
      </w:r>
    </w:p>
    <w:p>
      <w:pPr>
        <w:numPr>
          <w:ilvl w:val="1"/>
          <w:numId w:val="9"/>
        </w:numPr>
        <w:ind w:left="0" w:firstLine="480" w:firstLineChars="200"/>
        <w:rPr>
          <w:rFonts w:ascii="Times New Roman" w:hAnsi="Times New Roman"/>
          <w:szCs w:val="24"/>
        </w:rPr>
      </w:pPr>
      <w:r>
        <w:rPr>
          <w:rFonts w:ascii="Times New Roman" w:hAnsi="Times New Roman"/>
          <w:szCs w:val="24"/>
        </w:rPr>
        <w:t>本响应有效期为自开标日起</w:t>
      </w:r>
      <w:r>
        <w:rPr>
          <w:rFonts w:ascii="Times New Roman" w:hAnsi="Times New Roman"/>
          <w:szCs w:val="24"/>
          <w:u w:val="single"/>
        </w:rPr>
        <w:t>90</w:t>
      </w:r>
      <w:r>
        <w:rPr>
          <w:rFonts w:ascii="Times New Roman" w:hAnsi="Times New Roman"/>
          <w:szCs w:val="24"/>
        </w:rPr>
        <w:t>个日历日。</w:t>
      </w:r>
    </w:p>
    <w:p>
      <w:pPr>
        <w:numPr>
          <w:ilvl w:val="1"/>
          <w:numId w:val="9"/>
        </w:numPr>
        <w:ind w:left="0" w:firstLine="480" w:firstLineChars="200"/>
        <w:rPr>
          <w:rFonts w:ascii="Times New Roman" w:hAnsi="Times New Roman"/>
          <w:szCs w:val="24"/>
        </w:rPr>
      </w:pPr>
      <w:r>
        <w:rPr>
          <w:rFonts w:ascii="Times New Roman" w:hAnsi="Times New Roman"/>
          <w:szCs w:val="24"/>
        </w:rPr>
        <w:t>如果在规定的开标时间后，我方在响应有效期内撤回响应文件及报价，响应保证金将被贵方没收。</w:t>
      </w:r>
    </w:p>
    <w:p>
      <w:pPr>
        <w:numPr>
          <w:ilvl w:val="1"/>
          <w:numId w:val="9"/>
        </w:numPr>
        <w:ind w:left="0" w:firstLine="480" w:firstLineChars="200"/>
        <w:rPr>
          <w:rFonts w:ascii="Times New Roman" w:hAnsi="Times New Roman"/>
          <w:szCs w:val="24"/>
        </w:rPr>
      </w:pPr>
      <w:r>
        <w:rPr>
          <w:rFonts w:ascii="Times New Roman" w:hAnsi="Times New Roman"/>
          <w:szCs w:val="24"/>
        </w:rPr>
        <w:t>根据供应商须知第2条规定，我方承诺，与采购人聘请的为此项目提供咨询服务的公司及任何附属机构均无关联，我方不是采购人的附属机构。</w:t>
      </w:r>
    </w:p>
    <w:p>
      <w:pPr>
        <w:numPr>
          <w:ilvl w:val="1"/>
          <w:numId w:val="9"/>
        </w:numPr>
        <w:ind w:left="0" w:firstLine="480" w:firstLineChars="200"/>
        <w:rPr>
          <w:rFonts w:ascii="Times New Roman" w:hAnsi="Times New Roman"/>
          <w:szCs w:val="24"/>
        </w:rPr>
      </w:pPr>
      <w:r>
        <w:rPr>
          <w:rFonts w:ascii="Times New Roman" w:hAnsi="Times New Roman"/>
          <w:szCs w:val="24"/>
        </w:rPr>
        <w:t>我方承诺：我方在本项目中的陈述和本响应文件的一切资料均为真实合法，没有不实的描述、承诺或者伪造、变造的情形。如果我方在本项目中做虚假陈述或者在响应文件中提供虚假资料，我方愿接受有关处理，同时承担由此带来的一切法律后果。</w:t>
      </w:r>
    </w:p>
    <w:p>
      <w:pPr>
        <w:numPr>
          <w:ilvl w:val="1"/>
          <w:numId w:val="9"/>
        </w:numPr>
        <w:ind w:left="0" w:firstLine="480" w:firstLineChars="200"/>
        <w:rPr>
          <w:rFonts w:ascii="Times New Roman" w:hAnsi="Times New Roman"/>
          <w:szCs w:val="24"/>
        </w:rPr>
      </w:pPr>
      <w:r>
        <w:rPr>
          <w:rFonts w:ascii="Times New Roman" w:hAnsi="Times New Roman"/>
          <w:szCs w:val="24"/>
        </w:rPr>
        <w:t>与本响应文件、报价有关的一切正式往来信函请寄：</w:t>
      </w:r>
    </w:p>
    <w:p>
      <w:pPr>
        <w:rPr>
          <w:rFonts w:ascii="Times New Roman" w:hAnsi="Times New Roman"/>
          <w:szCs w:val="24"/>
        </w:rPr>
      </w:pPr>
      <w:r>
        <w:rPr>
          <w:rFonts w:ascii="Times New Roman" w:hAnsi="Times New Roman"/>
          <w:szCs w:val="24"/>
        </w:rPr>
        <w:t>地址传真</w:t>
      </w:r>
    </w:p>
    <w:p>
      <w:pPr>
        <w:rPr>
          <w:rFonts w:ascii="Times New Roman" w:hAnsi="Times New Roman"/>
          <w:szCs w:val="24"/>
        </w:rPr>
      </w:pPr>
      <w:r>
        <w:rPr>
          <w:rFonts w:ascii="Times New Roman" w:hAnsi="Times New Roman"/>
          <w:szCs w:val="24"/>
        </w:rPr>
        <w:t>电话电子函件</w:t>
      </w:r>
    </w:p>
    <w:p>
      <w:pPr>
        <w:rPr>
          <w:rFonts w:ascii="Times New Roman" w:hAnsi="Times New Roman"/>
          <w:szCs w:val="24"/>
          <w:u w:val="single"/>
        </w:rPr>
      </w:pPr>
      <w:r>
        <w:rPr>
          <w:rFonts w:ascii="Times New Roman" w:hAnsi="Times New Roman"/>
          <w:szCs w:val="24"/>
        </w:rPr>
        <w:t>供应商代表签字</w:t>
      </w:r>
    </w:p>
    <w:p>
      <w:pPr>
        <w:rPr>
          <w:rFonts w:ascii="Times New Roman" w:hAnsi="Times New Roman"/>
          <w:szCs w:val="24"/>
        </w:rPr>
      </w:pPr>
      <w:r>
        <w:rPr>
          <w:rFonts w:ascii="Times New Roman" w:hAnsi="Times New Roman"/>
          <w:szCs w:val="24"/>
        </w:rPr>
        <w:t>供应商开户银行（全称）</w:t>
      </w:r>
    </w:p>
    <w:p>
      <w:pPr>
        <w:rPr>
          <w:rFonts w:ascii="Times New Roman" w:hAnsi="Times New Roman"/>
          <w:szCs w:val="24"/>
        </w:rPr>
      </w:pPr>
      <w:r>
        <w:rPr>
          <w:rFonts w:ascii="Times New Roman" w:hAnsi="Times New Roman"/>
          <w:szCs w:val="24"/>
        </w:rPr>
        <w:t>供应商银行账号</w:t>
      </w:r>
    </w:p>
    <w:p>
      <w:pPr>
        <w:rPr>
          <w:rFonts w:ascii="Times New Roman" w:hAnsi="Times New Roman"/>
          <w:szCs w:val="24"/>
        </w:rPr>
      </w:pPr>
      <w:r>
        <w:rPr>
          <w:rFonts w:ascii="Times New Roman" w:hAnsi="Times New Roman"/>
          <w:szCs w:val="24"/>
        </w:rPr>
        <w:t>供应商名称</w:t>
      </w:r>
    </w:p>
    <w:p>
      <w:pPr>
        <w:rPr>
          <w:rFonts w:ascii="Times New Roman" w:hAnsi="Times New Roman"/>
          <w:szCs w:val="24"/>
          <w:u w:val="single"/>
        </w:rPr>
      </w:pPr>
      <w:r>
        <w:rPr>
          <w:rFonts w:ascii="Times New Roman" w:hAnsi="Times New Roman"/>
          <w:szCs w:val="24"/>
        </w:rPr>
        <w:t>供应商公章</w:t>
      </w:r>
    </w:p>
    <w:p>
      <w:pPr>
        <w:rPr>
          <w:rFonts w:ascii="Times New Roman" w:hAnsi="Times New Roman"/>
          <w:szCs w:val="24"/>
        </w:rPr>
      </w:pPr>
      <w:r>
        <w:rPr>
          <w:rFonts w:ascii="Times New Roman" w:hAnsi="Times New Roman"/>
          <w:szCs w:val="24"/>
        </w:rPr>
        <w:t>日期</w:t>
      </w:r>
    </w:p>
    <w:p>
      <w:pPr>
        <w:rPr>
          <w:rFonts w:ascii="Times New Roman" w:hAnsi="Times New Roman"/>
          <w:szCs w:val="21"/>
        </w:rPr>
      </w:pPr>
    </w:p>
    <w:p>
      <w:pPr>
        <w:rPr>
          <w:rFonts w:ascii="Times New Roman" w:hAnsi="Times New Roman"/>
          <w:szCs w:val="21"/>
        </w:rPr>
        <w:sectPr>
          <w:pgSz w:w="11907" w:h="16840"/>
          <w:pgMar w:top="1134" w:right="1134" w:bottom="1134" w:left="1134" w:header="851" w:footer="851" w:gutter="0"/>
          <w:cols w:space="720" w:num="1"/>
          <w:docGrid w:linePitch="312" w:charSpace="0"/>
        </w:sectPr>
      </w:pPr>
    </w:p>
    <w:p>
      <w:pPr>
        <w:pStyle w:val="3"/>
        <w:jc w:val="left"/>
        <w:rPr>
          <w:rFonts w:ascii="Times New Roman" w:hAnsi="Times New Roman"/>
        </w:rPr>
      </w:pPr>
      <w:bookmarkStart w:id="209" w:name="_Toc155772031"/>
      <w:bookmarkStart w:id="210" w:name="_Toc153353716"/>
      <w:bookmarkStart w:id="211" w:name="_Toc146011779"/>
      <w:bookmarkStart w:id="212" w:name="_Toc245740649"/>
      <w:bookmarkStart w:id="213" w:name="_Toc155772923"/>
      <w:bookmarkStart w:id="214" w:name="_Toc195427223"/>
      <w:bookmarkStart w:id="215" w:name="_Toc193858789"/>
      <w:bookmarkStart w:id="216" w:name="_Toc243946200"/>
      <w:bookmarkStart w:id="217" w:name="_Toc243680607"/>
      <w:r>
        <w:rPr>
          <w:rFonts w:ascii="Times New Roman" w:hAnsi="Times New Roman"/>
        </w:rPr>
        <w:t>5、报价一览表格式</w:t>
      </w:r>
      <w:bookmarkEnd w:id="209"/>
      <w:bookmarkEnd w:id="210"/>
      <w:bookmarkEnd w:id="211"/>
      <w:bookmarkEnd w:id="212"/>
      <w:bookmarkEnd w:id="213"/>
      <w:bookmarkEnd w:id="214"/>
      <w:bookmarkEnd w:id="215"/>
      <w:bookmarkEnd w:id="216"/>
      <w:bookmarkEnd w:id="217"/>
    </w:p>
    <w:p>
      <w:pPr>
        <w:jc w:val="center"/>
        <w:rPr>
          <w:rFonts w:ascii="Times New Roman" w:hAnsi="Times New Roman"/>
          <w:b/>
          <w:bCs/>
          <w:sz w:val="32"/>
          <w:szCs w:val="32"/>
        </w:rPr>
      </w:pPr>
      <w:r>
        <w:rPr>
          <w:rFonts w:ascii="Times New Roman" w:hAnsi="Times New Roman"/>
          <w:b/>
          <w:bCs/>
          <w:sz w:val="32"/>
          <w:szCs w:val="32"/>
        </w:rPr>
        <w:t>报价一览表</w:t>
      </w:r>
    </w:p>
    <w:p>
      <w:pPr>
        <w:rPr>
          <w:rFonts w:ascii="Times New Roman" w:hAnsi="Times New Roman"/>
          <w:szCs w:val="24"/>
          <w:u w:val="single"/>
        </w:rPr>
      </w:pPr>
    </w:p>
    <w:p>
      <w:pPr>
        <w:tabs>
          <w:tab w:val="left" w:pos="1800"/>
          <w:tab w:val="left" w:pos="5580"/>
        </w:tabs>
        <w:rPr>
          <w:rFonts w:ascii="Times New Roman" w:hAnsi="Times New Roman"/>
          <w:u w:val="single"/>
        </w:rPr>
      </w:pPr>
      <w:r>
        <w:rPr>
          <w:rFonts w:ascii="Times New Roman" w:hAnsi="Times New Roman"/>
        </w:rPr>
        <w:t>采购编号：</w:t>
      </w:r>
      <w:r>
        <w:rPr>
          <w:rFonts w:ascii="Times New Roman" w:hAnsi="Times New Roman"/>
          <w:szCs w:val="24"/>
          <w:u w:val="single"/>
        </w:rPr>
        <w:t>JSSP2020</w:t>
      </w:r>
      <w:r>
        <w:rPr>
          <w:rFonts w:hint="eastAsia" w:ascii="Times New Roman" w:hAnsi="Times New Roman"/>
          <w:szCs w:val="24"/>
          <w:u w:val="single"/>
          <w:lang w:val="en-US" w:eastAsia="zh-CN"/>
        </w:rPr>
        <w:t>ZY</w:t>
      </w:r>
      <w:r>
        <w:rPr>
          <w:rFonts w:ascii="Times New Roman" w:hAnsi="Times New Roman"/>
          <w:szCs w:val="24"/>
          <w:u w:val="single"/>
        </w:rPr>
        <w:t>0</w:t>
      </w:r>
      <w:r>
        <w:rPr>
          <w:rFonts w:hint="eastAsia" w:ascii="Times New Roman" w:hAnsi="Times New Roman"/>
          <w:szCs w:val="24"/>
          <w:u w:val="single"/>
          <w:lang w:val="en-US" w:eastAsia="zh-CN"/>
        </w:rPr>
        <w:t>01</w:t>
      </w:r>
      <w:r>
        <w:rPr>
          <w:rFonts w:ascii="Times New Roman" w:hAnsi="Times New Roman"/>
          <w:szCs w:val="24"/>
          <w:u w:val="single"/>
        </w:rPr>
        <w:t>X</w:t>
      </w:r>
      <w:r>
        <w:rPr>
          <w:rFonts w:ascii="Times New Roman" w:hAnsi="Times New Roman"/>
          <w:u w:val="single"/>
        </w:rPr>
        <w:t xml:space="preserve"> </w:t>
      </w:r>
      <w:r>
        <w:rPr>
          <w:rFonts w:ascii="Times New Roman" w:hAnsi="Times New Roman"/>
        </w:rPr>
        <w:t xml:space="preserve">    项目名称：</w:t>
      </w:r>
      <w:r>
        <w:rPr>
          <w:rFonts w:hint="eastAsia" w:ascii="Times New Roman" w:hAnsi="Times New Roman"/>
          <w:szCs w:val="24"/>
          <w:u w:val="single"/>
          <w:lang w:eastAsia="zh-CN"/>
        </w:rPr>
        <w:t>学生公寓洗衣机投资经营服务</w:t>
      </w:r>
      <w:r>
        <w:rPr>
          <w:rFonts w:ascii="Times New Roman" w:hAnsi="Times New Roman"/>
          <w:szCs w:val="24"/>
          <w:u w:val="single"/>
        </w:rPr>
        <w:t>项目</w:t>
      </w:r>
    </w:p>
    <w:p>
      <w:pPr>
        <w:ind w:firstLine="7200" w:firstLineChars="3000"/>
        <w:rPr>
          <w:rFonts w:ascii="Times New Roman" w:hAnsi="Times New Roman"/>
          <w:szCs w:val="24"/>
        </w:rPr>
      </w:pPr>
      <w:r>
        <w:rPr>
          <w:rFonts w:ascii="Times New Roman" w:hAnsi="Times New Roman"/>
          <w:szCs w:val="24"/>
        </w:rPr>
        <w:t>单位：人民币（元）</w:t>
      </w:r>
    </w:p>
    <w:tbl>
      <w:tblPr>
        <w:tblStyle w:val="5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83"/>
        <w:gridCol w:w="5471"/>
        <w:gridCol w:w="25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jc w:val="center"/>
        </w:trPr>
        <w:tc>
          <w:tcPr>
            <w:tcW w:w="955" w:type="pct"/>
            <w:vAlign w:val="center"/>
          </w:tcPr>
          <w:p>
            <w:pPr>
              <w:pStyle w:val="180"/>
              <w:jc w:val="center"/>
              <w:rPr>
                <w:rFonts w:ascii="Times New Roman" w:hAnsi="Times New Roman"/>
                <w:b/>
              </w:rPr>
            </w:pPr>
            <w:r>
              <w:rPr>
                <w:rFonts w:ascii="Times New Roman" w:hAnsi="Times New Roman"/>
                <w:b/>
              </w:rPr>
              <w:t>项目名称</w:t>
            </w:r>
          </w:p>
        </w:tc>
        <w:tc>
          <w:tcPr>
            <w:tcW w:w="2776" w:type="pct"/>
            <w:vAlign w:val="center"/>
          </w:tcPr>
          <w:p>
            <w:pPr>
              <w:pStyle w:val="180"/>
              <w:jc w:val="center"/>
              <w:rPr>
                <w:rFonts w:ascii="Times New Roman" w:hAnsi="Times New Roman"/>
                <w:b/>
              </w:rPr>
            </w:pPr>
            <w:r>
              <w:rPr>
                <w:rFonts w:ascii="Times New Roman" w:hAnsi="Times New Roman"/>
                <w:b/>
              </w:rPr>
              <w:t>投标报价</w:t>
            </w:r>
          </w:p>
        </w:tc>
        <w:tc>
          <w:tcPr>
            <w:tcW w:w="1269" w:type="pct"/>
            <w:vAlign w:val="center"/>
          </w:tcPr>
          <w:p>
            <w:pPr>
              <w:pStyle w:val="180"/>
              <w:jc w:val="center"/>
              <w:rPr>
                <w:rFonts w:ascii="Times New Roman" w:hAnsi="Times New Roman"/>
                <w:b/>
              </w:rPr>
            </w:pPr>
            <w:r>
              <w:rPr>
                <w:rFonts w:ascii="Times New Roman" w:hAnsi="Times New Roman"/>
                <w:b/>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2" w:hRule="atLeast"/>
          <w:jc w:val="center"/>
        </w:trPr>
        <w:tc>
          <w:tcPr>
            <w:tcW w:w="955" w:type="pct"/>
            <w:vMerge w:val="restart"/>
            <w:vAlign w:val="center"/>
          </w:tcPr>
          <w:p>
            <w:pPr>
              <w:spacing w:line="240" w:lineRule="auto"/>
              <w:jc w:val="center"/>
              <w:rPr>
                <w:rFonts w:ascii="Times New Roman" w:hAnsi="Times New Roman"/>
                <w:szCs w:val="24"/>
              </w:rPr>
            </w:pPr>
            <w:r>
              <w:rPr>
                <w:rFonts w:hint="eastAsia" w:ascii="Times New Roman" w:hAnsi="Times New Roman"/>
                <w:szCs w:val="24"/>
                <w:lang w:eastAsia="zh-CN"/>
              </w:rPr>
              <w:t>学生公寓洗衣机投资经营服务</w:t>
            </w:r>
            <w:r>
              <w:rPr>
                <w:rFonts w:ascii="Times New Roman" w:hAnsi="Times New Roman"/>
                <w:szCs w:val="24"/>
              </w:rPr>
              <w:t>项目</w:t>
            </w:r>
          </w:p>
        </w:tc>
        <w:tc>
          <w:tcPr>
            <w:tcW w:w="2776" w:type="pct"/>
            <w:vAlign w:val="center"/>
          </w:tcPr>
          <w:p>
            <w:pPr>
              <w:rPr>
                <w:rFonts w:ascii="Times New Roman" w:hAnsi="Times New Roman"/>
                <w:b/>
                <w:szCs w:val="24"/>
              </w:rPr>
            </w:pPr>
            <w:r>
              <w:rPr>
                <w:rFonts w:ascii="Times New Roman" w:hAnsi="Times New Roman"/>
                <w:b/>
                <w:szCs w:val="24"/>
              </w:rPr>
              <w:t>投标报价大写金额：</w:t>
            </w:r>
          </w:p>
          <w:p>
            <w:pPr>
              <w:rPr>
                <w:rFonts w:ascii="Times New Roman" w:hAnsi="Times New Roman"/>
                <w:b/>
                <w:szCs w:val="24"/>
              </w:rPr>
            </w:pPr>
            <w:r>
              <w:rPr>
                <w:rFonts w:ascii="Times New Roman" w:hAnsi="Times New Roman"/>
                <w:b/>
                <w:szCs w:val="24"/>
              </w:rPr>
              <w:t>投标报价小写金额：</w:t>
            </w:r>
          </w:p>
        </w:tc>
        <w:tc>
          <w:tcPr>
            <w:tcW w:w="1269" w:type="pct"/>
            <w:vAlign w:val="center"/>
          </w:tcPr>
          <w:p>
            <w:pPr>
              <w:jc w:val="center"/>
              <w:rPr>
                <w:rFonts w:ascii="Times New Roman" w:hAnsi="Times New Roman"/>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55" w:type="pct"/>
            <w:vMerge w:val="continue"/>
            <w:vAlign w:val="center"/>
          </w:tcPr>
          <w:p>
            <w:pPr>
              <w:spacing w:line="240" w:lineRule="auto"/>
              <w:jc w:val="center"/>
              <w:rPr>
                <w:rFonts w:ascii="Times New Roman" w:hAnsi="Times New Roman"/>
                <w:szCs w:val="24"/>
              </w:rPr>
            </w:pPr>
          </w:p>
        </w:tc>
        <w:tc>
          <w:tcPr>
            <w:tcW w:w="2776" w:type="pct"/>
            <w:vAlign w:val="center"/>
          </w:tcPr>
          <w:p>
            <w:pPr>
              <w:rPr>
                <w:rFonts w:ascii="Times New Roman" w:hAnsi="Times New Roman"/>
                <w:b/>
                <w:szCs w:val="24"/>
              </w:rPr>
            </w:pPr>
          </w:p>
        </w:tc>
        <w:tc>
          <w:tcPr>
            <w:tcW w:w="1269" w:type="pct"/>
            <w:vAlign w:val="center"/>
          </w:tcPr>
          <w:p>
            <w:pPr>
              <w:jc w:val="center"/>
              <w:rPr>
                <w:rFonts w:ascii="Times New Roman" w:hAnsi="Times New Roman"/>
                <w:szCs w:val="24"/>
              </w:rPr>
            </w:pPr>
          </w:p>
        </w:tc>
      </w:tr>
    </w:tbl>
    <w:p>
      <w:pPr>
        <w:rPr>
          <w:rFonts w:ascii="Times New Roman" w:hAnsi="Times New Roman"/>
          <w:szCs w:val="24"/>
        </w:rPr>
      </w:pPr>
    </w:p>
    <w:p>
      <w:pPr>
        <w:rPr>
          <w:rFonts w:ascii="Times New Roman" w:hAnsi="Times New Roman"/>
          <w:szCs w:val="24"/>
        </w:rPr>
      </w:pPr>
      <w:r>
        <w:rPr>
          <w:rFonts w:ascii="Times New Roman" w:hAnsi="Times New Roman"/>
          <w:szCs w:val="24"/>
        </w:rPr>
        <w:t>（退还保证金时，将依据以下账户信息）</w:t>
      </w:r>
    </w:p>
    <w:p>
      <w:pPr>
        <w:rPr>
          <w:rFonts w:ascii="Times New Roman" w:hAnsi="Times New Roman"/>
          <w:szCs w:val="24"/>
        </w:rPr>
      </w:pPr>
      <w:r>
        <w:rPr>
          <w:rFonts w:ascii="Times New Roman" w:hAnsi="Times New Roman"/>
          <w:szCs w:val="24"/>
        </w:rPr>
        <w:t>供应商开户银行（全称）：</w:t>
      </w:r>
    </w:p>
    <w:p>
      <w:pPr>
        <w:rPr>
          <w:rFonts w:ascii="Times New Roman" w:hAnsi="Times New Roman"/>
          <w:szCs w:val="24"/>
        </w:rPr>
      </w:pPr>
      <w:r>
        <w:rPr>
          <w:rFonts w:ascii="Times New Roman" w:hAnsi="Times New Roman"/>
          <w:szCs w:val="24"/>
        </w:rPr>
        <w:t>供应商银行账号：</w:t>
      </w:r>
    </w:p>
    <w:p>
      <w:pPr>
        <w:rPr>
          <w:rFonts w:ascii="Times New Roman" w:hAnsi="Times New Roman"/>
          <w:szCs w:val="24"/>
        </w:rPr>
      </w:pPr>
      <w:r>
        <w:rPr>
          <w:rFonts w:ascii="Times New Roman" w:hAnsi="Times New Roman"/>
          <w:szCs w:val="24"/>
        </w:rPr>
        <w:t>供应商地址：</w:t>
      </w:r>
    </w:p>
    <w:p>
      <w:pPr>
        <w:rPr>
          <w:rFonts w:ascii="Times New Roman" w:hAnsi="Times New Roman"/>
          <w:u w:val="single"/>
        </w:rPr>
      </w:pPr>
      <w:r>
        <w:rPr>
          <w:rFonts w:ascii="Times New Roman" w:hAnsi="Times New Roman"/>
          <w:szCs w:val="24"/>
        </w:rPr>
        <w:t>供应商法定代表人或授权代表（签字）：</w:t>
      </w:r>
    </w:p>
    <w:p>
      <w:pPr>
        <w:rPr>
          <w:rFonts w:ascii="Times New Roman" w:hAnsi="Times New Roman"/>
          <w:szCs w:val="24"/>
        </w:rPr>
      </w:pPr>
      <w:r>
        <w:rPr>
          <w:rFonts w:ascii="Times New Roman" w:hAnsi="Times New Roman"/>
          <w:szCs w:val="24"/>
        </w:rPr>
        <w:t>供应商名称（加盖单位公章）：</w:t>
      </w:r>
    </w:p>
    <w:p>
      <w:pPr>
        <w:rPr>
          <w:rFonts w:ascii="Times New Roman" w:hAnsi="Times New Roman"/>
          <w:u w:val="single"/>
        </w:rPr>
      </w:pPr>
      <w:r>
        <w:rPr>
          <w:rFonts w:ascii="Times New Roman" w:hAnsi="Times New Roman"/>
        </w:rPr>
        <w:t>日期：</w:t>
      </w:r>
    </w:p>
    <w:p>
      <w:pPr>
        <w:rPr>
          <w:rFonts w:ascii="Times New Roman" w:hAnsi="Times New Roman"/>
        </w:rPr>
      </w:pPr>
      <w:r>
        <w:rPr>
          <w:rFonts w:ascii="Times New Roman" w:hAnsi="Times New Roman"/>
        </w:rPr>
        <w:t>注： 1、报价一览表内容与响应文件中相应内容不一致的，以报价一览表本表为准。</w:t>
      </w:r>
    </w:p>
    <w:p>
      <w:pPr>
        <w:rPr>
          <w:rFonts w:ascii="Times New Roman" w:hAnsi="Times New Roman"/>
        </w:rPr>
      </w:pPr>
      <w:r>
        <w:rPr>
          <w:rFonts w:ascii="Times New Roman" w:hAnsi="Times New Roman"/>
        </w:rPr>
        <w:t xml:space="preserve">2、为了方便开标，此表除在响应文件中提交外，还应按供应商须知的规定密封标记并单独递交一份。如不一致，以单独递交的报价一览表为准。 </w:t>
      </w:r>
    </w:p>
    <w:p>
      <w:pPr>
        <w:widowControl/>
        <w:spacing w:line="240" w:lineRule="auto"/>
        <w:rPr>
          <w:rFonts w:ascii="Times New Roman" w:hAnsi="Times New Roman"/>
        </w:rPr>
      </w:pPr>
      <w:r>
        <w:rPr>
          <w:rFonts w:ascii="Times New Roman" w:hAnsi="Times New Roman"/>
        </w:rPr>
        <w:br w:type="page"/>
      </w:r>
    </w:p>
    <w:p>
      <w:pPr>
        <w:rPr>
          <w:rFonts w:ascii="Times New Roman" w:hAnsi="Times New Roman"/>
        </w:rPr>
        <w:sectPr>
          <w:headerReference r:id="rId19" w:type="default"/>
          <w:footerReference r:id="rId20" w:type="default"/>
          <w:pgSz w:w="11907" w:h="16840"/>
          <w:pgMar w:top="1134" w:right="1134" w:bottom="1134" w:left="1134" w:header="851" w:footer="680" w:gutter="0"/>
          <w:cols w:space="720" w:num="1"/>
          <w:docGrid w:linePitch="326" w:charSpace="0"/>
        </w:sectPr>
      </w:pPr>
    </w:p>
    <w:p>
      <w:pPr>
        <w:pStyle w:val="3"/>
        <w:jc w:val="left"/>
        <w:rPr>
          <w:rFonts w:ascii="Times New Roman" w:hAnsi="Times New Roman"/>
        </w:rPr>
      </w:pPr>
      <w:bookmarkStart w:id="218" w:name="_Toc243946203"/>
      <w:bookmarkStart w:id="219" w:name="_Toc243680610"/>
      <w:bookmarkStart w:id="220" w:name="_Toc49019233"/>
      <w:bookmarkStart w:id="221" w:name="_Toc245740652"/>
      <w:bookmarkStart w:id="222" w:name="_Toc193858792"/>
      <w:bookmarkStart w:id="223" w:name="_Toc48791232"/>
      <w:bookmarkStart w:id="224" w:name="_Toc48995848"/>
      <w:bookmarkStart w:id="225" w:name="_Toc153353719"/>
      <w:bookmarkStart w:id="226" w:name="_Toc155772034"/>
      <w:bookmarkStart w:id="227" w:name="_Toc155772926"/>
      <w:bookmarkStart w:id="228" w:name="_Toc146011783"/>
      <w:bookmarkStart w:id="229" w:name="_Toc195427226"/>
      <w:bookmarkStart w:id="230" w:name="_Toc47418935"/>
      <w:bookmarkStart w:id="231" w:name="_Toc47418728"/>
      <w:bookmarkStart w:id="232" w:name="_Toc47262066"/>
      <w:bookmarkStart w:id="233" w:name="_Toc47418252"/>
      <w:bookmarkStart w:id="234" w:name="_Toc47261882"/>
      <w:bookmarkStart w:id="235" w:name="_Toc47261687"/>
      <w:r>
        <w:rPr>
          <w:rFonts w:ascii="Times New Roman" w:hAnsi="Times New Roman"/>
        </w:rPr>
        <w:t>6</w:t>
      </w:r>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r>
        <w:rPr>
          <w:rFonts w:ascii="Times New Roman" w:hAnsi="Times New Roman"/>
        </w:rPr>
        <w:t>、采购需求偏离表格式</w:t>
      </w:r>
    </w:p>
    <w:p>
      <w:pPr>
        <w:jc w:val="center"/>
        <w:rPr>
          <w:rFonts w:ascii="Times New Roman" w:hAnsi="Times New Roman"/>
          <w:b/>
          <w:bCs/>
          <w:sz w:val="32"/>
          <w:szCs w:val="32"/>
        </w:rPr>
      </w:pPr>
      <w:r>
        <w:rPr>
          <w:rFonts w:ascii="Times New Roman" w:hAnsi="Times New Roman"/>
          <w:b/>
          <w:bCs/>
          <w:sz w:val="32"/>
          <w:szCs w:val="32"/>
        </w:rPr>
        <w:t>采购需求偏离表</w:t>
      </w:r>
    </w:p>
    <w:p>
      <w:pPr>
        <w:rPr>
          <w:rFonts w:ascii="Times New Roman" w:hAnsi="Times New Roman"/>
          <w:szCs w:val="24"/>
        </w:rPr>
      </w:pPr>
      <w:r>
        <w:rPr>
          <w:rFonts w:ascii="Times New Roman" w:hAnsi="Times New Roman"/>
          <w:szCs w:val="24"/>
        </w:rPr>
        <w:t>供应商名称：                   项目名称：</w:t>
      </w:r>
      <w:r>
        <w:rPr>
          <w:rFonts w:hint="eastAsia" w:ascii="Times New Roman" w:hAnsi="Times New Roman"/>
          <w:szCs w:val="24"/>
          <w:u w:val="single"/>
          <w:lang w:eastAsia="zh-CN"/>
        </w:rPr>
        <w:t>学生公寓洗衣机投资经营服务</w:t>
      </w:r>
      <w:r>
        <w:rPr>
          <w:rFonts w:ascii="Times New Roman" w:hAnsi="Times New Roman"/>
          <w:szCs w:val="24"/>
          <w:u w:val="single"/>
        </w:rPr>
        <w:t>项目</w:t>
      </w:r>
    </w:p>
    <w:tbl>
      <w:tblPr>
        <w:tblStyle w:val="5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4"/>
        <w:gridCol w:w="2371"/>
        <w:gridCol w:w="2127"/>
        <w:gridCol w:w="1417"/>
        <w:gridCol w:w="1947"/>
        <w:gridCol w:w="12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362" w:type="pct"/>
            <w:vAlign w:val="center"/>
          </w:tcPr>
          <w:p>
            <w:pPr>
              <w:jc w:val="center"/>
              <w:rPr>
                <w:rFonts w:ascii="Times New Roman" w:hAnsi="Times New Roman"/>
              </w:rPr>
            </w:pPr>
            <w:r>
              <w:rPr>
                <w:rFonts w:ascii="Times New Roman" w:hAnsi="Times New Roman"/>
              </w:rPr>
              <w:t>序号</w:t>
            </w:r>
          </w:p>
        </w:tc>
        <w:tc>
          <w:tcPr>
            <w:tcW w:w="1203" w:type="pct"/>
            <w:vAlign w:val="center"/>
          </w:tcPr>
          <w:p>
            <w:pPr>
              <w:jc w:val="center"/>
              <w:rPr>
                <w:rFonts w:ascii="Times New Roman" w:hAnsi="Times New Roman"/>
              </w:rPr>
            </w:pPr>
            <w:r>
              <w:rPr>
                <w:rFonts w:ascii="Times New Roman" w:hAnsi="Times New Roman"/>
              </w:rPr>
              <w:t>磋商文件要求</w:t>
            </w:r>
          </w:p>
        </w:tc>
        <w:tc>
          <w:tcPr>
            <w:tcW w:w="1079" w:type="pct"/>
            <w:vAlign w:val="center"/>
          </w:tcPr>
          <w:p>
            <w:pPr>
              <w:jc w:val="center"/>
              <w:rPr>
                <w:rFonts w:ascii="Times New Roman" w:hAnsi="Times New Roman"/>
              </w:rPr>
            </w:pPr>
            <w:r>
              <w:rPr>
                <w:rFonts w:ascii="Times New Roman" w:hAnsi="Times New Roman"/>
              </w:rPr>
              <w:t>响应文件内容</w:t>
            </w:r>
          </w:p>
        </w:tc>
        <w:tc>
          <w:tcPr>
            <w:tcW w:w="719" w:type="pct"/>
            <w:vAlign w:val="center"/>
          </w:tcPr>
          <w:p>
            <w:pPr>
              <w:jc w:val="center"/>
              <w:rPr>
                <w:rFonts w:ascii="Times New Roman" w:hAnsi="Times New Roman"/>
              </w:rPr>
            </w:pPr>
            <w:r>
              <w:rPr>
                <w:rFonts w:ascii="Times New Roman" w:hAnsi="Times New Roman"/>
              </w:rPr>
              <w:t>是否响应</w:t>
            </w:r>
          </w:p>
        </w:tc>
        <w:tc>
          <w:tcPr>
            <w:tcW w:w="988" w:type="pct"/>
            <w:vAlign w:val="center"/>
          </w:tcPr>
          <w:p>
            <w:pPr>
              <w:jc w:val="center"/>
              <w:rPr>
                <w:rFonts w:ascii="Times New Roman" w:hAnsi="Times New Roman"/>
              </w:rPr>
            </w:pPr>
            <w:r>
              <w:rPr>
                <w:rFonts w:ascii="Times New Roman" w:hAnsi="Times New Roman"/>
              </w:rPr>
              <w:t>偏离情况</w:t>
            </w:r>
          </w:p>
        </w:tc>
        <w:tc>
          <w:tcPr>
            <w:tcW w:w="649" w:type="pct"/>
            <w:vAlign w:val="center"/>
          </w:tcPr>
          <w:p>
            <w:pPr>
              <w:jc w:val="center"/>
              <w:rPr>
                <w:rFonts w:ascii="Times New Roman" w:hAnsi="Times New Roman"/>
              </w:rPr>
            </w:pPr>
            <w:r>
              <w:rPr>
                <w:rFonts w:ascii="Times New Roman" w:hAnsi="Times New Roma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362" w:type="pct"/>
            <w:vAlign w:val="center"/>
          </w:tcPr>
          <w:p>
            <w:pPr>
              <w:jc w:val="center"/>
              <w:rPr>
                <w:rFonts w:ascii="Times New Roman" w:hAnsi="Times New Roman"/>
              </w:rPr>
            </w:pPr>
            <w:r>
              <w:rPr>
                <w:rFonts w:ascii="Times New Roman" w:hAnsi="Times New Roman"/>
              </w:rPr>
              <w:t>1</w:t>
            </w:r>
          </w:p>
        </w:tc>
        <w:tc>
          <w:tcPr>
            <w:tcW w:w="1203" w:type="pct"/>
            <w:vAlign w:val="center"/>
          </w:tcPr>
          <w:p>
            <w:pPr>
              <w:jc w:val="center"/>
              <w:rPr>
                <w:rFonts w:ascii="Times New Roman" w:hAnsi="Times New Roman"/>
              </w:rPr>
            </w:pPr>
          </w:p>
        </w:tc>
        <w:tc>
          <w:tcPr>
            <w:tcW w:w="1079" w:type="pct"/>
            <w:vAlign w:val="center"/>
          </w:tcPr>
          <w:p>
            <w:pPr>
              <w:jc w:val="center"/>
              <w:rPr>
                <w:rFonts w:ascii="Times New Roman" w:hAnsi="Times New Roman"/>
              </w:rPr>
            </w:pPr>
          </w:p>
        </w:tc>
        <w:tc>
          <w:tcPr>
            <w:tcW w:w="719" w:type="pct"/>
            <w:vAlign w:val="center"/>
          </w:tcPr>
          <w:p>
            <w:pPr>
              <w:jc w:val="center"/>
              <w:rPr>
                <w:rFonts w:ascii="Times New Roman" w:hAnsi="Times New Roman"/>
              </w:rPr>
            </w:pPr>
          </w:p>
        </w:tc>
        <w:tc>
          <w:tcPr>
            <w:tcW w:w="988" w:type="pct"/>
            <w:vAlign w:val="center"/>
          </w:tcPr>
          <w:p>
            <w:pPr>
              <w:jc w:val="center"/>
              <w:rPr>
                <w:rFonts w:ascii="Times New Roman" w:hAnsi="Times New Roman"/>
              </w:rPr>
            </w:pPr>
          </w:p>
        </w:tc>
        <w:tc>
          <w:tcPr>
            <w:tcW w:w="649" w:type="pct"/>
            <w:vAlign w:val="center"/>
          </w:tcPr>
          <w:p>
            <w:pPr>
              <w:jc w:val="cente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362" w:type="pct"/>
            <w:vAlign w:val="center"/>
          </w:tcPr>
          <w:p>
            <w:pPr>
              <w:jc w:val="center"/>
              <w:rPr>
                <w:rFonts w:ascii="Times New Roman" w:hAnsi="Times New Roman"/>
              </w:rPr>
            </w:pPr>
            <w:r>
              <w:rPr>
                <w:rFonts w:ascii="Times New Roman" w:hAnsi="Times New Roman"/>
              </w:rPr>
              <w:t>2</w:t>
            </w:r>
          </w:p>
        </w:tc>
        <w:tc>
          <w:tcPr>
            <w:tcW w:w="1203" w:type="pct"/>
            <w:vAlign w:val="center"/>
          </w:tcPr>
          <w:p>
            <w:pPr>
              <w:jc w:val="center"/>
              <w:rPr>
                <w:rFonts w:ascii="Times New Roman" w:hAnsi="Times New Roman"/>
              </w:rPr>
            </w:pPr>
          </w:p>
        </w:tc>
        <w:tc>
          <w:tcPr>
            <w:tcW w:w="1079" w:type="pct"/>
            <w:vAlign w:val="center"/>
          </w:tcPr>
          <w:p>
            <w:pPr>
              <w:jc w:val="center"/>
              <w:rPr>
                <w:rFonts w:ascii="Times New Roman" w:hAnsi="Times New Roman"/>
              </w:rPr>
            </w:pPr>
          </w:p>
        </w:tc>
        <w:tc>
          <w:tcPr>
            <w:tcW w:w="719" w:type="pct"/>
            <w:vAlign w:val="center"/>
          </w:tcPr>
          <w:p>
            <w:pPr>
              <w:jc w:val="center"/>
              <w:rPr>
                <w:rFonts w:ascii="Times New Roman" w:hAnsi="Times New Roman"/>
              </w:rPr>
            </w:pPr>
          </w:p>
        </w:tc>
        <w:tc>
          <w:tcPr>
            <w:tcW w:w="988" w:type="pct"/>
            <w:vAlign w:val="center"/>
          </w:tcPr>
          <w:p>
            <w:pPr>
              <w:jc w:val="center"/>
              <w:rPr>
                <w:rFonts w:ascii="Times New Roman" w:hAnsi="Times New Roman"/>
              </w:rPr>
            </w:pPr>
          </w:p>
        </w:tc>
        <w:tc>
          <w:tcPr>
            <w:tcW w:w="649" w:type="pct"/>
            <w:vAlign w:val="center"/>
          </w:tcPr>
          <w:p>
            <w:pPr>
              <w:jc w:val="cente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362" w:type="pct"/>
            <w:vAlign w:val="center"/>
          </w:tcPr>
          <w:p>
            <w:pPr>
              <w:jc w:val="center"/>
              <w:rPr>
                <w:rFonts w:ascii="Times New Roman" w:hAnsi="Times New Roman"/>
              </w:rPr>
            </w:pPr>
            <w:r>
              <w:rPr>
                <w:rFonts w:ascii="Times New Roman" w:hAnsi="Times New Roman"/>
              </w:rPr>
              <w:t>3</w:t>
            </w:r>
          </w:p>
        </w:tc>
        <w:tc>
          <w:tcPr>
            <w:tcW w:w="1203" w:type="pct"/>
            <w:vAlign w:val="center"/>
          </w:tcPr>
          <w:p>
            <w:pPr>
              <w:jc w:val="center"/>
              <w:rPr>
                <w:rFonts w:ascii="Times New Roman" w:hAnsi="Times New Roman"/>
              </w:rPr>
            </w:pPr>
          </w:p>
        </w:tc>
        <w:tc>
          <w:tcPr>
            <w:tcW w:w="1079" w:type="pct"/>
            <w:vAlign w:val="center"/>
          </w:tcPr>
          <w:p>
            <w:pPr>
              <w:jc w:val="center"/>
              <w:rPr>
                <w:rFonts w:ascii="Times New Roman" w:hAnsi="Times New Roman"/>
              </w:rPr>
            </w:pPr>
          </w:p>
        </w:tc>
        <w:tc>
          <w:tcPr>
            <w:tcW w:w="719" w:type="pct"/>
            <w:vAlign w:val="center"/>
          </w:tcPr>
          <w:p>
            <w:pPr>
              <w:jc w:val="center"/>
              <w:rPr>
                <w:rFonts w:ascii="Times New Roman" w:hAnsi="Times New Roman"/>
              </w:rPr>
            </w:pPr>
          </w:p>
        </w:tc>
        <w:tc>
          <w:tcPr>
            <w:tcW w:w="988" w:type="pct"/>
            <w:vAlign w:val="center"/>
          </w:tcPr>
          <w:p>
            <w:pPr>
              <w:jc w:val="center"/>
              <w:rPr>
                <w:rFonts w:ascii="Times New Roman" w:hAnsi="Times New Roman"/>
              </w:rPr>
            </w:pPr>
          </w:p>
        </w:tc>
        <w:tc>
          <w:tcPr>
            <w:tcW w:w="649" w:type="pct"/>
            <w:vAlign w:val="center"/>
          </w:tcPr>
          <w:p>
            <w:pPr>
              <w:jc w:val="cente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362" w:type="pct"/>
            <w:vAlign w:val="center"/>
          </w:tcPr>
          <w:p>
            <w:pPr>
              <w:jc w:val="center"/>
              <w:rPr>
                <w:rFonts w:ascii="Times New Roman" w:hAnsi="Times New Roman"/>
              </w:rPr>
            </w:pPr>
            <w:r>
              <w:rPr>
                <w:rFonts w:ascii="Times New Roman" w:hAnsi="Times New Roman"/>
              </w:rPr>
              <w:t>4</w:t>
            </w:r>
          </w:p>
        </w:tc>
        <w:tc>
          <w:tcPr>
            <w:tcW w:w="1203" w:type="pct"/>
            <w:vAlign w:val="center"/>
          </w:tcPr>
          <w:p>
            <w:pPr>
              <w:jc w:val="center"/>
              <w:rPr>
                <w:rFonts w:ascii="Times New Roman" w:hAnsi="Times New Roman"/>
              </w:rPr>
            </w:pPr>
          </w:p>
        </w:tc>
        <w:tc>
          <w:tcPr>
            <w:tcW w:w="1079" w:type="pct"/>
            <w:vAlign w:val="center"/>
          </w:tcPr>
          <w:p>
            <w:pPr>
              <w:jc w:val="center"/>
              <w:rPr>
                <w:rFonts w:ascii="Times New Roman" w:hAnsi="Times New Roman"/>
              </w:rPr>
            </w:pPr>
          </w:p>
        </w:tc>
        <w:tc>
          <w:tcPr>
            <w:tcW w:w="719" w:type="pct"/>
            <w:vAlign w:val="center"/>
          </w:tcPr>
          <w:p>
            <w:pPr>
              <w:jc w:val="center"/>
              <w:rPr>
                <w:rFonts w:ascii="Times New Roman" w:hAnsi="Times New Roman"/>
              </w:rPr>
            </w:pPr>
          </w:p>
        </w:tc>
        <w:tc>
          <w:tcPr>
            <w:tcW w:w="988" w:type="pct"/>
            <w:vAlign w:val="center"/>
          </w:tcPr>
          <w:p>
            <w:pPr>
              <w:jc w:val="center"/>
              <w:rPr>
                <w:rFonts w:ascii="Times New Roman" w:hAnsi="Times New Roman"/>
              </w:rPr>
            </w:pPr>
          </w:p>
        </w:tc>
        <w:tc>
          <w:tcPr>
            <w:tcW w:w="649" w:type="pct"/>
            <w:vAlign w:val="center"/>
          </w:tcPr>
          <w:p>
            <w:pPr>
              <w:jc w:val="cente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362" w:type="pct"/>
            <w:vAlign w:val="center"/>
          </w:tcPr>
          <w:p>
            <w:pPr>
              <w:jc w:val="center"/>
              <w:rPr>
                <w:rFonts w:ascii="Times New Roman" w:hAnsi="Times New Roman"/>
              </w:rPr>
            </w:pPr>
            <w:r>
              <w:rPr>
                <w:rFonts w:ascii="Times New Roman" w:hAnsi="Times New Roman"/>
              </w:rPr>
              <w:t>5</w:t>
            </w:r>
          </w:p>
        </w:tc>
        <w:tc>
          <w:tcPr>
            <w:tcW w:w="1203" w:type="pct"/>
            <w:vAlign w:val="center"/>
          </w:tcPr>
          <w:p>
            <w:pPr>
              <w:jc w:val="center"/>
              <w:rPr>
                <w:rFonts w:ascii="Times New Roman" w:hAnsi="Times New Roman"/>
              </w:rPr>
            </w:pPr>
          </w:p>
        </w:tc>
        <w:tc>
          <w:tcPr>
            <w:tcW w:w="1079" w:type="pct"/>
            <w:vAlign w:val="center"/>
          </w:tcPr>
          <w:p>
            <w:pPr>
              <w:jc w:val="center"/>
              <w:rPr>
                <w:rFonts w:ascii="Times New Roman" w:hAnsi="Times New Roman"/>
              </w:rPr>
            </w:pPr>
          </w:p>
        </w:tc>
        <w:tc>
          <w:tcPr>
            <w:tcW w:w="719" w:type="pct"/>
            <w:vAlign w:val="center"/>
          </w:tcPr>
          <w:p>
            <w:pPr>
              <w:jc w:val="center"/>
              <w:rPr>
                <w:rFonts w:ascii="Times New Roman" w:hAnsi="Times New Roman"/>
              </w:rPr>
            </w:pPr>
          </w:p>
        </w:tc>
        <w:tc>
          <w:tcPr>
            <w:tcW w:w="988" w:type="pct"/>
            <w:vAlign w:val="center"/>
          </w:tcPr>
          <w:p>
            <w:pPr>
              <w:jc w:val="center"/>
              <w:rPr>
                <w:rFonts w:ascii="Times New Roman" w:hAnsi="Times New Roman"/>
              </w:rPr>
            </w:pPr>
          </w:p>
        </w:tc>
        <w:tc>
          <w:tcPr>
            <w:tcW w:w="649" w:type="pct"/>
            <w:vAlign w:val="center"/>
          </w:tcPr>
          <w:p>
            <w:pPr>
              <w:jc w:val="cente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362" w:type="pct"/>
            <w:vAlign w:val="center"/>
          </w:tcPr>
          <w:p>
            <w:pPr>
              <w:jc w:val="center"/>
              <w:rPr>
                <w:rFonts w:ascii="Times New Roman" w:hAnsi="Times New Roman"/>
              </w:rPr>
            </w:pPr>
            <w:r>
              <w:rPr>
                <w:rFonts w:ascii="Times New Roman" w:hAnsi="Times New Roman"/>
              </w:rPr>
              <w:t>6</w:t>
            </w:r>
          </w:p>
        </w:tc>
        <w:tc>
          <w:tcPr>
            <w:tcW w:w="1203" w:type="pct"/>
            <w:vAlign w:val="center"/>
          </w:tcPr>
          <w:p>
            <w:pPr>
              <w:jc w:val="center"/>
              <w:rPr>
                <w:rFonts w:ascii="Times New Roman" w:hAnsi="Times New Roman"/>
              </w:rPr>
            </w:pPr>
          </w:p>
        </w:tc>
        <w:tc>
          <w:tcPr>
            <w:tcW w:w="1079" w:type="pct"/>
            <w:vAlign w:val="center"/>
          </w:tcPr>
          <w:p>
            <w:pPr>
              <w:jc w:val="center"/>
              <w:rPr>
                <w:rFonts w:ascii="Times New Roman" w:hAnsi="Times New Roman"/>
              </w:rPr>
            </w:pPr>
          </w:p>
        </w:tc>
        <w:tc>
          <w:tcPr>
            <w:tcW w:w="719" w:type="pct"/>
            <w:vAlign w:val="center"/>
          </w:tcPr>
          <w:p>
            <w:pPr>
              <w:jc w:val="center"/>
              <w:rPr>
                <w:rFonts w:ascii="Times New Roman" w:hAnsi="Times New Roman"/>
              </w:rPr>
            </w:pPr>
          </w:p>
        </w:tc>
        <w:tc>
          <w:tcPr>
            <w:tcW w:w="988" w:type="pct"/>
            <w:vAlign w:val="center"/>
          </w:tcPr>
          <w:p>
            <w:pPr>
              <w:jc w:val="center"/>
              <w:rPr>
                <w:rFonts w:ascii="Times New Roman" w:hAnsi="Times New Roman"/>
              </w:rPr>
            </w:pPr>
          </w:p>
        </w:tc>
        <w:tc>
          <w:tcPr>
            <w:tcW w:w="649" w:type="pct"/>
            <w:vAlign w:val="center"/>
          </w:tcPr>
          <w:p>
            <w:pPr>
              <w:jc w:val="cente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362" w:type="pct"/>
            <w:vAlign w:val="center"/>
          </w:tcPr>
          <w:p>
            <w:pPr>
              <w:jc w:val="center"/>
              <w:rPr>
                <w:rFonts w:ascii="Times New Roman" w:hAnsi="Times New Roman"/>
              </w:rPr>
            </w:pPr>
            <w:r>
              <w:rPr>
                <w:rFonts w:ascii="Times New Roman" w:hAnsi="Times New Roman"/>
              </w:rPr>
              <w:t>7</w:t>
            </w:r>
          </w:p>
        </w:tc>
        <w:tc>
          <w:tcPr>
            <w:tcW w:w="1203" w:type="pct"/>
            <w:vAlign w:val="center"/>
          </w:tcPr>
          <w:p>
            <w:pPr>
              <w:jc w:val="center"/>
              <w:rPr>
                <w:rFonts w:ascii="Times New Roman" w:hAnsi="Times New Roman"/>
              </w:rPr>
            </w:pPr>
          </w:p>
        </w:tc>
        <w:tc>
          <w:tcPr>
            <w:tcW w:w="1079" w:type="pct"/>
            <w:vAlign w:val="center"/>
          </w:tcPr>
          <w:p>
            <w:pPr>
              <w:jc w:val="center"/>
              <w:rPr>
                <w:rFonts w:ascii="Times New Roman" w:hAnsi="Times New Roman"/>
              </w:rPr>
            </w:pPr>
          </w:p>
        </w:tc>
        <w:tc>
          <w:tcPr>
            <w:tcW w:w="719" w:type="pct"/>
            <w:vAlign w:val="center"/>
          </w:tcPr>
          <w:p>
            <w:pPr>
              <w:jc w:val="center"/>
              <w:rPr>
                <w:rFonts w:ascii="Times New Roman" w:hAnsi="Times New Roman"/>
              </w:rPr>
            </w:pPr>
          </w:p>
        </w:tc>
        <w:tc>
          <w:tcPr>
            <w:tcW w:w="988" w:type="pct"/>
            <w:vAlign w:val="center"/>
          </w:tcPr>
          <w:p>
            <w:pPr>
              <w:jc w:val="center"/>
              <w:rPr>
                <w:rFonts w:ascii="Times New Roman" w:hAnsi="Times New Roman"/>
              </w:rPr>
            </w:pPr>
          </w:p>
        </w:tc>
        <w:tc>
          <w:tcPr>
            <w:tcW w:w="649" w:type="pct"/>
            <w:vAlign w:val="center"/>
          </w:tcPr>
          <w:p>
            <w:pPr>
              <w:jc w:val="cente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362" w:type="pct"/>
            <w:vAlign w:val="center"/>
          </w:tcPr>
          <w:p>
            <w:pPr>
              <w:jc w:val="center"/>
              <w:rPr>
                <w:rFonts w:ascii="Times New Roman" w:hAnsi="Times New Roman"/>
              </w:rPr>
            </w:pPr>
            <w:r>
              <w:rPr>
                <w:rFonts w:ascii="Times New Roman" w:hAnsi="Times New Roman"/>
              </w:rPr>
              <w:t>8</w:t>
            </w:r>
          </w:p>
        </w:tc>
        <w:tc>
          <w:tcPr>
            <w:tcW w:w="1203" w:type="pct"/>
            <w:vAlign w:val="center"/>
          </w:tcPr>
          <w:p>
            <w:pPr>
              <w:jc w:val="center"/>
              <w:rPr>
                <w:rFonts w:ascii="Times New Roman" w:hAnsi="Times New Roman"/>
              </w:rPr>
            </w:pPr>
          </w:p>
        </w:tc>
        <w:tc>
          <w:tcPr>
            <w:tcW w:w="1079" w:type="pct"/>
            <w:vAlign w:val="center"/>
          </w:tcPr>
          <w:p>
            <w:pPr>
              <w:jc w:val="center"/>
              <w:rPr>
                <w:rFonts w:ascii="Times New Roman" w:hAnsi="Times New Roman"/>
              </w:rPr>
            </w:pPr>
          </w:p>
        </w:tc>
        <w:tc>
          <w:tcPr>
            <w:tcW w:w="719" w:type="pct"/>
            <w:vAlign w:val="center"/>
          </w:tcPr>
          <w:p>
            <w:pPr>
              <w:jc w:val="center"/>
              <w:rPr>
                <w:rFonts w:ascii="Times New Roman" w:hAnsi="Times New Roman"/>
              </w:rPr>
            </w:pPr>
          </w:p>
        </w:tc>
        <w:tc>
          <w:tcPr>
            <w:tcW w:w="988" w:type="pct"/>
            <w:vAlign w:val="center"/>
          </w:tcPr>
          <w:p>
            <w:pPr>
              <w:jc w:val="center"/>
              <w:rPr>
                <w:rFonts w:ascii="Times New Roman" w:hAnsi="Times New Roman"/>
              </w:rPr>
            </w:pPr>
          </w:p>
        </w:tc>
        <w:tc>
          <w:tcPr>
            <w:tcW w:w="649" w:type="pct"/>
            <w:vAlign w:val="center"/>
          </w:tcPr>
          <w:p>
            <w:pPr>
              <w:jc w:val="center"/>
              <w:rPr>
                <w:rFonts w:ascii="Times New Roman" w:hAnsi="Times New Roman"/>
              </w:rPr>
            </w:pPr>
          </w:p>
        </w:tc>
      </w:tr>
    </w:tbl>
    <w:p>
      <w:pPr>
        <w:spacing w:line="480" w:lineRule="auto"/>
        <w:rPr>
          <w:rFonts w:ascii="Times New Roman" w:hAnsi="Times New Roman"/>
          <w:szCs w:val="24"/>
        </w:rPr>
      </w:pPr>
    </w:p>
    <w:p>
      <w:pPr>
        <w:spacing w:line="480" w:lineRule="auto"/>
        <w:rPr>
          <w:rFonts w:ascii="Times New Roman" w:hAnsi="Times New Roman"/>
          <w:szCs w:val="24"/>
        </w:rPr>
      </w:pPr>
      <w:r>
        <w:rPr>
          <w:rFonts w:ascii="Times New Roman" w:hAnsi="Times New Roman"/>
          <w:szCs w:val="24"/>
        </w:rPr>
        <w:t>供应商盖章：</w:t>
      </w:r>
    </w:p>
    <w:p>
      <w:pPr>
        <w:spacing w:line="480" w:lineRule="auto"/>
        <w:rPr>
          <w:rFonts w:ascii="Times New Roman" w:hAnsi="Times New Roman"/>
          <w:szCs w:val="24"/>
          <w:u w:val="single"/>
        </w:rPr>
      </w:pPr>
      <w:r>
        <w:rPr>
          <w:rFonts w:ascii="Times New Roman" w:hAnsi="Times New Roman"/>
          <w:szCs w:val="24"/>
        </w:rPr>
        <w:t>被授权人签字：</w:t>
      </w:r>
    </w:p>
    <w:p>
      <w:pPr>
        <w:ind w:firstLine="480" w:firstLineChars="200"/>
        <w:rPr>
          <w:rFonts w:ascii="Times New Roman" w:hAnsi="Times New Roman"/>
        </w:rPr>
      </w:pPr>
      <w:r>
        <w:rPr>
          <w:rFonts w:ascii="Times New Roman" w:hAnsi="Times New Roman"/>
        </w:rPr>
        <w:t>1、服务偏差必须如实填写，并应对偏差情况做出必要说明。供应商应对故意隐瞒服务偏差的行为承担责任。对采购文件有任何偏离应列明“正偏离”或“负偏离”，并标明“其他无偏离”。</w:t>
      </w:r>
    </w:p>
    <w:p>
      <w:pPr>
        <w:ind w:firstLine="480" w:firstLineChars="200"/>
        <w:rPr>
          <w:rFonts w:ascii="Times New Roman" w:hAnsi="Times New Roman"/>
        </w:rPr>
      </w:pPr>
      <w:r>
        <w:rPr>
          <w:rFonts w:ascii="Times New Roman" w:hAnsi="Times New Roman"/>
        </w:rPr>
        <w:t>2、磋商文件与采购文件无偏离应标明“无偏离”。</w:t>
      </w:r>
    </w:p>
    <w:p>
      <w:pPr>
        <w:pStyle w:val="3"/>
        <w:jc w:val="left"/>
        <w:rPr>
          <w:rFonts w:ascii="Times New Roman" w:hAnsi="Times New Roman"/>
        </w:rPr>
      </w:pPr>
      <w:bookmarkStart w:id="236" w:name="_Toc47261690"/>
      <w:bookmarkStart w:id="237" w:name="_Toc47418255"/>
      <w:bookmarkStart w:id="238" w:name="_Toc47261885"/>
      <w:bookmarkStart w:id="239" w:name="_Toc47262069"/>
      <w:bookmarkStart w:id="240" w:name="_Toc155772036"/>
      <w:bookmarkStart w:id="241" w:name="_Toc153353721"/>
      <w:bookmarkStart w:id="242" w:name="_Toc146011785"/>
      <w:bookmarkStart w:id="243" w:name="_Toc49019236"/>
      <w:bookmarkStart w:id="244" w:name="_Toc48995851"/>
      <w:bookmarkStart w:id="245" w:name="_Toc48791235"/>
      <w:bookmarkStart w:id="246" w:name="_Toc47418731"/>
      <w:bookmarkStart w:id="247" w:name="_Toc47418938"/>
      <w:bookmarkStart w:id="248" w:name="_Toc155772928"/>
      <w:bookmarkStart w:id="249" w:name="_Toc193858794"/>
      <w:bookmarkStart w:id="250" w:name="_Toc195427228"/>
      <w:bookmarkStart w:id="251" w:name="_Toc243946205"/>
      <w:bookmarkStart w:id="252" w:name="_Toc245740654"/>
      <w:bookmarkStart w:id="253" w:name="_Toc243680612"/>
      <w:r>
        <w:rPr>
          <w:rFonts w:ascii="Times New Roman" w:hAnsi="Times New Roman"/>
        </w:rPr>
        <w:t>7、法定代表人授权书格式</w:t>
      </w:r>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r>
        <w:rPr>
          <w:rFonts w:ascii="Times New Roman" w:hAnsi="Times New Roman"/>
        </w:rPr>
        <w:t>（须附法定代表人及被授权人的身份证复印件并加盖公章）</w:t>
      </w:r>
    </w:p>
    <w:p>
      <w:pPr>
        <w:jc w:val="center"/>
        <w:rPr>
          <w:rFonts w:ascii="Times New Roman" w:hAnsi="Times New Roman"/>
          <w:b/>
          <w:bCs/>
          <w:sz w:val="32"/>
          <w:szCs w:val="32"/>
        </w:rPr>
      </w:pPr>
      <w:r>
        <w:rPr>
          <w:rFonts w:ascii="Times New Roman" w:hAnsi="Times New Roman"/>
          <w:b/>
          <w:bCs/>
          <w:sz w:val="32"/>
          <w:szCs w:val="32"/>
        </w:rPr>
        <w:t>法定代表人授权书</w:t>
      </w:r>
    </w:p>
    <w:p>
      <w:pPr>
        <w:ind w:firstLine="480" w:firstLineChars="200"/>
        <w:rPr>
          <w:rFonts w:ascii="Times New Roman" w:hAnsi="Times New Roman"/>
          <w:szCs w:val="24"/>
        </w:rPr>
      </w:pPr>
      <w:r>
        <w:rPr>
          <w:rFonts w:ascii="Times New Roman" w:hAnsi="Times New Roman"/>
          <w:szCs w:val="24"/>
        </w:rPr>
        <w:t>本授权书声明：注册于（国家或地区的名称）的</w:t>
      </w:r>
      <w:r>
        <w:rPr>
          <w:rFonts w:ascii="Times New Roman" w:hAnsi="Times New Roman"/>
          <w:szCs w:val="24"/>
          <w:u w:val="single"/>
        </w:rPr>
        <w:t>（供应商名称）</w:t>
      </w:r>
      <w:r>
        <w:rPr>
          <w:rFonts w:ascii="Times New Roman" w:hAnsi="Times New Roman"/>
          <w:szCs w:val="24"/>
        </w:rPr>
        <w:t>的在下面签字的</w:t>
      </w:r>
      <w:r>
        <w:rPr>
          <w:rFonts w:ascii="Times New Roman" w:hAnsi="Times New Roman"/>
          <w:szCs w:val="24"/>
          <w:u w:val="single"/>
        </w:rPr>
        <w:t>（法定代表人姓名、职务）</w:t>
      </w:r>
      <w:r>
        <w:rPr>
          <w:rFonts w:ascii="Times New Roman" w:hAnsi="Times New Roman"/>
          <w:szCs w:val="24"/>
        </w:rPr>
        <w:t>代表本公司授权的在下面签字的</w:t>
      </w:r>
      <w:r>
        <w:rPr>
          <w:rFonts w:ascii="Times New Roman" w:hAnsi="Times New Roman"/>
          <w:szCs w:val="24"/>
          <w:u w:val="single"/>
        </w:rPr>
        <w:t>（被授权人的姓名、职务）</w:t>
      </w:r>
      <w:r>
        <w:rPr>
          <w:rFonts w:ascii="Times New Roman" w:hAnsi="Times New Roman"/>
          <w:szCs w:val="24"/>
        </w:rPr>
        <w:t>为本公司的合法代理人，就项目</w:t>
      </w:r>
      <w:r>
        <w:rPr>
          <w:rFonts w:hint="eastAsia" w:ascii="Times New Roman" w:hAnsi="Times New Roman"/>
          <w:szCs w:val="24"/>
          <w:u w:val="single"/>
          <w:lang w:eastAsia="zh-CN"/>
        </w:rPr>
        <w:t>学生公寓洗衣机投资经营服务</w:t>
      </w:r>
      <w:r>
        <w:rPr>
          <w:rFonts w:ascii="Times New Roman" w:hAnsi="Times New Roman"/>
          <w:szCs w:val="24"/>
          <w:u w:val="single"/>
        </w:rPr>
        <w:t>项目（采购编号：JSSP2020</w:t>
      </w:r>
      <w:r>
        <w:rPr>
          <w:rFonts w:hint="eastAsia" w:ascii="Times New Roman" w:hAnsi="Times New Roman"/>
          <w:szCs w:val="24"/>
          <w:u w:val="single"/>
          <w:lang w:val="en-US" w:eastAsia="zh-CN"/>
        </w:rPr>
        <w:t>ZY001</w:t>
      </w:r>
      <w:r>
        <w:rPr>
          <w:rFonts w:ascii="Times New Roman" w:hAnsi="Times New Roman"/>
          <w:szCs w:val="24"/>
          <w:u w:val="single"/>
        </w:rPr>
        <w:t>X）</w:t>
      </w:r>
      <w:r>
        <w:rPr>
          <w:rFonts w:ascii="Times New Roman" w:hAnsi="Times New Roman"/>
          <w:szCs w:val="24"/>
        </w:rPr>
        <w:t>的采购，以本公司名义处理一切与之有关的事务。我公司对被授权人的签名负全部法律责任。</w:t>
      </w:r>
    </w:p>
    <w:p>
      <w:pPr>
        <w:ind w:firstLine="480" w:firstLineChars="200"/>
        <w:rPr>
          <w:rFonts w:ascii="Times New Roman" w:hAnsi="Times New Roman"/>
          <w:szCs w:val="24"/>
        </w:rPr>
      </w:pPr>
      <w:r>
        <w:rPr>
          <w:rFonts w:ascii="Times New Roman" w:hAnsi="Times New Roman"/>
          <w:szCs w:val="24"/>
        </w:rPr>
        <w:t>本授权书于年月日签字生效，特此声明。</w:t>
      </w:r>
    </w:p>
    <w:p>
      <w:pPr>
        <w:ind w:firstLine="435"/>
        <w:rPr>
          <w:rFonts w:ascii="Times New Roman" w:hAnsi="Times New Roman"/>
          <w:szCs w:val="24"/>
        </w:rPr>
      </w:pPr>
    </w:p>
    <w:p>
      <w:pPr>
        <w:spacing w:line="480" w:lineRule="auto"/>
        <w:ind w:firstLine="480" w:firstLineChars="200"/>
        <w:rPr>
          <w:rFonts w:ascii="Times New Roman" w:hAnsi="Times New Roman"/>
          <w:szCs w:val="24"/>
          <w:u w:val="single"/>
        </w:rPr>
      </w:pPr>
      <w:r>
        <w:rPr>
          <w:rFonts w:ascii="Times New Roman" w:hAnsi="Times New Roman"/>
          <w:szCs w:val="24"/>
        </w:rPr>
        <w:t>法定代表人签字或签章</w:t>
      </w:r>
    </w:p>
    <w:p>
      <w:pPr>
        <w:spacing w:line="480" w:lineRule="auto"/>
        <w:ind w:firstLine="480" w:firstLineChars="200"/>
        <w:rPr>
          <w:rFonts w:ascii="Times New Roman" w:hAnsi="Times New Roman"/>
          <w:szCs w:val="24"/>
          <w:u w:val="single"/>
        </w:rPr>
      </w:pPr>
      <w:r>
        <w:rPr>
          <w:rFonts w:ascii="Times New Roman" w:hAnsi="Times New Roman"/>
          <w:szCs w:val="24"/>
        </w:rPr>
        <w:t>被授权人签字</w:t>
      </w:r>
    </w:p>
    <w:p>
      <w:pPr>
        <w:spacing w:line="480" w:lineRule="auto"/>
        <w:ind w:firstLine="480" w:firstLineChars="200"/>
        <w:rPr>
          <w:rFonts w:ascii="Times New Roman" w:hAnsi="Times New Roman"/>
          <w:u w:val="single"/>
        </w:rPr>
      </w:pPr>
      <w:r>
        <w:rPr>
          <w:rFonts w:ascii="Times New Roman" w:hAnsi="Times New Roman"/>
          <w:szCs w:val="24"/>
        </w:rPr>
        <w:t>供应商名称</w:t>
      </w:r>
      <w:r>
        <w:rPr>
          <w:rFonts w:ascii="Times New Roman" w:hAnsi="Times New Roman"/>
        </w:rPr>
        <w:t>（公章）</w:t>
      </w:r>
    </w:p>
    <w:p>
      <w:pPr>
        <w:spacing w:line="480" w:lineRule="auto"/>
        <w:ind w:firstLine="480" w:firstLineChars="200"/>
        <w:rPr>
          <w:rFonts w:ascii="Times New Roman" w:hAnsi="Times New Roman"/>
        </w:rPr>
      </w:pPr>
    </w:p>
    <w:p>
      <w:pPr>
        <w:spacing w:line="480" w:lineRule="auto"/>
        <w:ind w:firstLine="480" w:firstLineChars="200"/>
        <w:rPr>
          <w:rFonts w:ascii="Times New Roman" w:hAnsi="Times New Roman"/>
          <w:szCs w:val="24"/>
        </w:rPr>
      </w:pPr>
      <w:r>
        <w:rPr>
          <w:rFonts w:ascii="Times New Roman" w:hAnsi="Times New Roman"/>
          <w:szCs w:val="24"/>
        </w:rPr>
        <w:t>附：</w:t>
      </w:r>
    </w:p>
    <w:p>
      <w:pPr>
        <w:spacing w:line="480" w:lineRule="auto"/>
        <w:ind w:firstLine="480" w:firstLineChars="200"/>
        <w:rPr>
          <w:rFonts w:ascii="Times New Roman" w:hAnsi="Times New Roman"/>
          <w:szCs w:val="24"/>
        </w:rPr>
      </w:pPr>
      <w:r>
        <w:rPr>
          <w:rFonts w:ascii="Times New Roman" w:hAnsi="Times New Roman"/>
          <w:szCs w:val="24"/>
        </w:rPr>
        <w:t>被授权人姓名：</w:t>
      </w:r>
    </w:p>
    <w:p>
      <w:pPr>
        <w:spacing w:line="480" w:lineRule="auto"/>
        <w:ind w:firstLine="480" w:firstLineChars="200"/>
        <w:rPr>
          <w:rFonts w:ascii="Times New Roman" w:hAnsi="Times New Roman"/>
          <w:szCs w:val="24"/>
        </w:rPr>
      </w:pPr>
      <w:r>
        <w:rPr>
          <w:rFonts w:ascii="Times New Roman" w:hAnsi="Times New Roman"/>
          <w:szCs w:val="24"/>
        </w:rPr>
        <w:t>职务：</w:t>
      </w:r>
    </w:p>
    <w:p>
      <w:pPr>
        <w:spacing w:line="480" w:lineRule="auto"/>
        <w:ind w:firstLine="480" w:firstLineChars="200"/>
        <w:rPr>
          <w:rFonts w:ascii="Times New Roman" w:hAnsi="Times New Roman"/>
          <w:szCs w:val="24"/>
        </w:rPr>
      </w:pPr>
      <w:r>
        <w:rPr>
          <w:rFonts w:ascii="Times New Roman" w:hAnsi="Times New Roman"/>
          <w:szCs w:val="24"/>
        </w:rPr>
        <w:t>详细通讯地址：</w:t>
      </w:r>
    </w:p>
    <w:p>
      <w:pPr>
        <w:spacing w:line="480" w:lineRule="auto"/>
        <w:ind w:firstLine="480" w:firstLineChars="200"/>
        <w:rPr>
          <w:rFonts w:ascii="Times New Roman" w:hAnsi="Times New Roman"/>
          <w:szCs w:val="24"/>
        </w:rPr>
      </w:pPr>
      <w:r>
        <w:rPr>
          <w:rFonts w:ascii="Times New Roman" w:hAnsi="Times New Roman"/>
          <w:szCs w:val="24"/>
        </w:rPr>
        <w:t>邮政编码：</w:t>
      </w:r>
    </w:p>
    <w:p>
      <w:pPr>
        <w:spacing w:line="480" w:lineRule="auto"/>
        <w:ind w:firstLine="480" w:firstLineChars="200"/>
        <w:rPr>
          <w:rFonts w:ascii="Times New Roman" w:hAnsi="Times New Roman"/>
          <w:szCs w:val="24"/>
        </w:rPr>
      </w:pPr>
      <w:r>
        <w:rPr>
          <w:rFonts w:ascii="Times New Roman" w:hAnsi="Times New Roman"/>
          <w:szCs w:val="24"/>
        </w:rPr>
        <w:t>传真：</w:t>
      </w:r>
    </w:p>
    <w:p>
      <w:pPr>
        <w:spacing w:line="480" w:lineRule="auto"/>
        <w:ind w:firstLine="480" w:firstLineChars="200"/>
        <w:rPr>
          <w:rFonts w:ascii="Times New Roman" w:hAnsi="Times New Roman"/>
          <w:szCs w:val="24"/>
        </w:rPr>
      </w:pPr>
      <w:r>
        <w:rPr>
          <w:rFonts w:ascii="Times New Roman" w:hAnsi="Times New Roman"/>
          <w:szCs w:val="24"/>
        </w:rPr>
        <w:t>电话：</w:t>
      </w:r>
    </w:p>
    <w:p>
      <w:pPr>
        <w:spacing w:line="480" w:lineRule="auto"/>
        <w:ind w:firstLine="480" w:firstLineChars="200"/>
        <w:rPr>
          <w:rFonts w:ascii="Times New Roman" w:hAnsi="Times New Roman"/>
          <w:szCs w:val="24"/>
        </w:rPr>
      </w:pPr>
      <w:r>
        <w:rPr>
          <w:rFonts w:ascii="Times New Roman" w:hAnsi="Times New Roman"/>
          <w:szCs w:val="24"/>
        </w:rPr>
        <w:t>手机：</w:t>
      </w:r>
    </w:p>
    <w:p>
      <w:pPr>
        <w:pStyle w:val="3"/>
        <w:jc w:val="left"/>
        <w:rPr>
          <w:rFonts w:ascii="Times New Roman" w:hAnsi="Times New Roman"/>
          <w:szCs w:val="24"/>
        </w:rPr>
      </w:pPr>
      <w:bookmarkStart w:id="254" w:name="_Ref103077389"/>
      <w:bookmarkStart w:id="255" w:name="_Toc67626446"/>
      <w:r>
        <w:rPr>
          <w:rFonts w:ascii="Times New Roman" w:hAnsi="Times New Roman"/>
        </w:rPr>
        <w:t>8、资格证明文件格式</w:t>
      </w:r>
    </w:p>
    <w:p>
      <w:pPr>
        <w:rPr>
          <w:rFonts w:ascii="Times New Roman" w:hAnsi="Times New Roman"/>
          <w:szCs w:val="24"/>
        </w:rPr>
      </w:pPr>
      <w:r>
        <w:rPr>
          <w:rFonts w:ascii="Times New Roman" w:hAnsi="Times New Roman"/>
          <w:szCs w:val="24"/>
        </w:rPr>
        <w:t>一、目录</w:t>
      </w:r>
    </w:p>
    <w:p>
      <w:pPr>
        <w:tabs>
          <w:tab w:val="left" w:pos="720"/>
        </w:tabs>
        <w:autoSpaceDE w:val="0"/>
        <w:autoSpaceDN w:val="0"/>
        <w:adjustRightInd w:val="0"/>
        <w:ind w:right="17"/>
        <w:rPr>
          <w:rFonts w:ascii="Times New Roman" w:hAnsi="Times New Roman"/>
          <w:szCs w:val="24"/>
        </w:rPr>
      </w:pPr>
      <w:bookmarkStart w:id="256" w:name="_Toc155772931"/>
      <w:r>
        <w:rPr>
          <w:rFonts w:ascii="Times New Roman" w:hAnsi="Times New Roman"/>
          <w:szCs w:val="24"/>
        </w:rPr>
        <w:t>8.1</w:t>
      </w:r>
      <w:r>
        <w:rPr>
          <w:rFonts w:ascii="Times New Roman" w:hAnsi="Times New Roman"/>
          <w:kern w:val="0"/>
          <w:szCs w:val="24"/>
          <w:lang w:val="zh-CN"/>
        </w:rPr>
        <w:t>法人或者其他组织的营业执照等证明文件</w:t>
      </w:r>
      <w:r>
        <w:rPr>
          <w:rFonts w:ascii="Times New Roman" w:hAnsi="Times New Roman"/>
          <w:szCs w:val="24"/>
        </w:rPr>
        <w:t>；</w:t>
      </w:r>
    </w:p>
    <w:p>
      <w:pPr>
        <w:tabs>
          <w:tab w:val="left" w:pos="720"/>
        </w:tabs>
        <w:autoSpaceDE w:val="0"/>
        <w:autoSpaceDN w:val="0"/>
        <w:adjustRightInd w:val="0"/>
        <w:ind w:right="17"/>
        <w:rPr>
          <w:rFonts w:ascii="Times New Roman" w:hAnsi="Times New Roman"/>
          <w:kern w:val="0"/>
          <w:szCs w:val="24"/>
          <w:lang w:val="zh-CN"/>
        </w:rPr>
      </w:pPr>
      <w:r>
        <w:rPr>
          <w:rFonts w:ascii="Times New Roman" w:hAnsi="Times New Roman"/>
          <w:szCs w:val="24"/>
        </w:rPr>
        <w:t>8.2</w:t>
      </w:r>
      <w:r>
        <w:rPr>
          <w:rFonts w:ascii="Times New Roman" w:hAnsi="Times New Roman"/>
          <w:kern w:val="0"/>
          <w:szCs w:val="24"/>
          <w:lang w:val="zh-CN"/>
        </w:rPr>
        <w:t>依法缴纳税收和社会保障资金的证明</w:t>
      </w:r>
      <w:r>
        <w:rPr>
          <w:rFonts w:ascii="Times New Roman" w:hAnsi="Times New Roman"/>
          <w:szCs w:val="24"/>
        </w:rPr>
        <w:t>（复印件加盖单位公章）；</w:t>
      </w:r>
    </w:p>
    <w:p>
      <w:pPr>
        <w:rPr>
          <w:rFonts w:ascii="Times New Roman" w:hAnsi="Times New Roman"/>
          <w:szCs w:val="24"/>
        </w:rPr>
      </w:pPr>
      <w:r>
        <w:rPr>
          <w:rFonts w:ascii="Times New Roman" w:hAnsi="Times New Roman"/>
          <w:szCs w:val="24"/>
        </w:rPr>
        <w:t>8.3近三年内，在经营活动中没有重大违法记录的声明（并须附供应商近</w:t>
      </w:r>
      <w:r>
        <w:rPr>
          <w:rFonts w:ascii="Times New Roman" w:hAnsi="Times New Roman"/>
          <w:kern w:val="0"/>
          <w:szCs w:val="24"/>
        </w:rPr>
        <w:t>三年内的信用记录情况截图</w:t>
      </w:r>
      <w:r>
        <w:rPr>
          <w:rFonts w:ascii="Times New Roman" w:hAnsi="Times New Roman"/>
          <w:szCs w:val="24"/>
        </w:rPr>
        <w:t>）；</w:t>
      </w:r>
    </w:p>
    <w:p>
      <w:pPr>
        <w:rPr>
          <w:rFonts w:ascii="Times New Roman" w:hAnsi="Times New Roman"/>
          <w:szCs w:val="24"/>
        </w:rPr>
      </w:pPr>
      <w:r>
        <w:rPr>
          <w:rFonts w:ascii="Times New Roman" w:hAnsi="Times New Roman"/>
          <w:szCs w:val="24"/>
        </w:rPr>
        <w:t>8.4资信证明（会计师事务所出具的上一年度审计报告或银行出具的资信证明）；</w:t>
      </w:r>
    </w:p>
    <w:p>
      <w:pPr>
        <w:rPr>
          <w:rFonts w:ascii="Times New Roman" w:hAnsi="Times New Roman"/>
          <w:szCs w:val="24"/>
        </w:rPr>
      </w:pPr>
      <w:r>
        <w:rPr>
          <w:rFonts w:ascii="Times New Roman" w:hAnsi="Times New Roman"/>
          <w:szCs w:val="24"/>
        </w:rPr>
        <w:t>8.5响应人不是单位负责人为同一人或者存在直接控股、管理关系的不同供应商；</w:t>
      </w:r>
    </w:p>
    <w:p>
      <w:pPr>
        <w:rPr>
          <w:rFonts w:ascii="Times New Roman" w:hAnsi="Times New Roman"/>
          <w:szCs w:val="24"/>
        </w:rPr>
      </w:pPr>
      <w:r>
        <w:rPr>
          <w:rFonts w:ascii="Times New Roman" w:hAnsi="Times New Roman"/>
          <w:szCs w:val="24"/>
        </w:rPr>
        <w:t>8.6响应人不是为本项目某包提供整体设计、规范编制或者项目管理、监理、检测等服务的供应商的声明。</w:t>
      </w:r>
    </w:p>
    <w:p>
      <w:pPr>
        <w:widowControl/>
        <w:rPr>
          <w:rFonts w:ascii="Times New Roman" w:hAnsi="Times New Roman"/>
          <w:szCs w:val="24"/>
        </w:rPr>
      </w:pPr>
      <w:bookmarkStart w:id="257" w:name="_Toc245740655"/>
      <w:bookmarkStart w:id="258" w:name="_Toc243680613"/>
      <w:bookmarkStart w:id="259" w:name="_Toc243946206"/>
      <w:bookmarkStart w:id="260" w:name="_Toc193858795"/>
      <w:bookmarkStart w:id="261" w:name="_Toc195427231"/>
      <w:r>
        <w:rPr>
          <w:rFonts w:ascii="Times New Roman" w:hAnsi="Times New Roman"/>
          <w:szCs w:val="24"/>
        </w:rPr>
        <w:t>二、填写须知</w:t>
      </w:r>
    </w:p>
    <w:p>
      <w:pPr>
        <w:widowControl/>
        <w:rPr>
          <w:rFonts w:ascii="Times New Roman" w:hAnsi="Times New Roman"/>
          <w:szCs w:val="24"/>
        </w:rPr>
      </w:pPr>
      <w:r>
        <w:rPr>
          <w:rFonts w:ascii="Times New Roman" w:hAnsi="Times New Roman"/>
          <w:szCs w:val="24"/>
        </w:rPr>
        <w:t>以上所列资格证明材料未提供格式的，由供应商提供，需由供应商授权代表签字并加盖公章。</w:t>
      </w:r>
    </w:p>
    <w:p>
      <w:pPr>
        <w:widowControl/>
        <w:rPr>
          <w:rFonts w:ascii="Times New Roman" w:hAnsi="Times New Roman"/>
          <w:szCs w:val="24"/>
        </w:rPr>
      </w:pPr>
      <w:r>
        <w:rPr>
          <w:rFonts w:ascii="Times New Roman" w:hAnsi="Times New Roman"/>
          <w:szCs w:val="24"/>
        </w:rPr>
        <w:t>供应商应保证提供的全部资格证明材料是真实的和正确的。</w:t>
      </w:r>
    </w:p>
    <w:p>
      <w:pPr>
        <w:widowControl/>
        <w:rPr>
          <w:rFonts w:ascii="Times New Roman" w:hAnsi="Times New Roman"/>
          <w:szCs w:val="24"/>
        </w:rPr>
      </w:pPr>
      <w:r>
        <w:rPr>
          <w:rFonts w:ascii="Times New Roman" w:hAnsi="Times New Roman"/>
          <w:szCs w:val="24"/>
        </w:rPr>
        <w:t>采购人将依法审查供应商提交的资格证明材料。</w:t>
      </w:r>
    </w:p>
    <w:p>
      <w:pPr>
        <w:widowControl/>
        <w:rPr>
          <w:rFonts w:ascii="Times New Roman" w:hAnsi="Times New Roman"/>
          <w:szCs w:val="24"/>
        </w:rPr>
      </w:pPr>
      <w:r>
        <w:rPr>
          <w:rFonts w:ascii="Times New Roman" w:hAnsi="Times New Roman"/>
          <w:szCs w:val="24"/>
        </w:rPr>
        <w:t>供应商提交的文件将被保密，但不退还。</w:t>
      </w:r>
    </w:p>
    <w:p>
      <w:pPr>
        <w:widowControl/>
        <w:rPr>
          <w:rFonts w:ascii="Times New Roman" w:hAnsi="Times New Roman"/>
          <w:szCs w:val="24"/>
        </w:rPr>
      </w:pPr>
      <w:r>
        <w:rPr>
          <w:rFonts w:ascii="Times New Roman" w:hAnsi="Times New Roman"/>
          <w:szCs w:val="24"/>
        </w:rPr>
        <w:t>全部文件应按“供应商须知前附表”规定的份数提交。</w:t>
      </w:r>
    </w:p>
    <w:p>
      <w:pPr>
        <w:widowControl/>
        <w:rPr>
          <w:rFonts w:ascii="Times New Roman" w:hAnsi="Times New Roman"/>
          <w:b/>
          <w:szCs w:val="24"/>
        </w:rPr>
      </w:pPr>
    </w:p>
    <w:p>
      <w:pPr>
        <w:pStyle w:val="4"/>
        <w:pageBreakBefore/>
        <w:numPr>
          <w:ilvl w:val="0"/>
          <w:numId w:val="0"/>
        </w:numPr>
        <w:ind w:left="720" w:hanging="720"/>
        <w:jc w:val="left"/>
        <w:rPr>
          <w:rFonts w:ascii="Times New Roman" w:hAnsi="Times New Roman"/>
        </w:rPr>
      </w:pPr>
      <w:r>
        <w:rPr>
          <w:rFonts w:ascii="Times New Roman" w:hAnsi="Times New Roman"/>
        </w:rPr>
        <w:t>8.1</w:t>
      </w:r>
      <w:bookmarkEnd w:id="257"/>
      <w:bookmarkEnd w:id="258"/>
      <w:bookmarkEnd w:id="259"/>
      <w:r>
        <w:rPr>
          <w:rFonts w:ascii="Times New Roman" w:hAnsi="Times New Roman"/>
          <w:kern w:val="0"/>
          <w:szCs w:val="24"/>
          <w:lang w:val="zh-CN"/>
        </w:rPr>
        <w:t>法人或者其他组织的营业执照等证明文件</w:t>
      </w:r>
    </w:p>
    <w:bookmarkEnd w:id="256"/>
    <w:bookmarkEnd w:id="260"/>
    <w:bookmarkEnd w:id="261"/>
    <w:p>
      <w:pPr>
        <w:rPr>
          <w:rFonts w:ascii="Times New Roman" w:hAnsi="Times New Roman"/>
        </w:rPr>
      </w:pPr>
      <w:bookmarkStart w:id="262" w:name="_Toc155772935"/>
      <w:bookmarkStart w:id="263" w:name="_Toc193858799"/>
      <w:bookmarkStart w:id="264" w:name="_Toc195427235"/>
      <w:r>
        <w:rPr>
          <w:rFonts w:ascii="Times New Roman" w:hAnsi="Times New Roman"/>
        </w:rPr>
        <w:t>注：供应商为法人单位的需提交有效的“三证合一”或“五证合一”新版营业执照并加盖公章，供应商为其他组织的需提供有效的证明文件并加盖有效印章</w:t>
      </w:r>
      <w:r>
        <w:rPr>
          <w:rFonts w:ascii="Times New Roman" w:hAnsi="Times New Roman"/>
          <w:kern w:val="0"/>
          <w:szCs w:val="24"/>
          <w:lang w:val="zh-CN"/>
        </w:rPr>
        <w:t>。</w:t>
      </w:r>
    </w:p>
    <w:p>
      <w:pPr>
        <w:widowControl/>
        <w:rPr>
          <w:rFonts w:ascii="Times New Roman" w:hAnsi="Times New Roman"/>
          <w:kern w:val="0"/>
        </w:rPr>
      </w:pPr>
    </w:p>
    <w:p>
      <w:pPr>
        <w:pStyle w:val="4"/>
        <w:pageBreakBefore/>
        <w:numPr>
          <w:ilvl w:val="0"/>
          <w:numId w:val="0"/>
        </w:numPr>
        <w:jc w:val="left"/>
        <w:rPr>
          <w:rFonts w:ascii="Times New Roman" w:hAnsi="Times New Roman"/>
        </w:rPr>
      </w:pPr>
      <w:r>
        <w:rPr>
          <w:rFonts w:ascii="Times New Roman" w:hAnsi="Times New Roman"/>
        </w:rPr>
        <w:t>8.2社会保障资金缴纳记录和税款缴纳情况</w:t>
      </w:r>
    </w:p>
    <w:p>
      <w:pPr>
        <w:autoSpaceDE w:val="0"/>
        <w:autoSpaceDN w:val="0"/>
        <w:adjustRightInd w:val="0"/>
        <w:spacing w:after="120"/>
        <w:ind w:firstLine="480" w:firstLineChars="200"/>
        <w:rPr>
          <w:rFonts w:ascii="Times New Roman" w:hAnsi="Times New Roman"/>
        </w:rPr>
      </w:pPr>
      <w:r>
        <w:rPr>
          <w:rFonts w:ascii="Times New Roman" w:hAnsi="Times New Roman"/>
        </w:rPr>
        <w:t>1、需提供投标截止时间前三个月（2020年5月至2020年7月）内任意一个月缴纳税收的证明材料复印件须加盖本单位公章，</w:t>
      </w:r>
      <w:r>
        <w:rPr>
          <w:rFonts w:ascii="Times New Roman" w:hAnsi="Times New Roman"/>
          <w:b/>
        </w:rPr>
        <w:t>缴纳个人所得税的凭据不能作为证明材料。</w:t>
      </w:r>
    </w:p>
    <w:p>
      <w:pPr>
        <w:spacing w:after="120"/>
        <w:ind w:firstLine="480" w:firstLineChars="200"/>
        <w:rPr>
          <w:rFonts w:ascii="Times New Roman" w:hAnsi="Times New Roman"/>
          <w:bCs/>
        </w:rPr>
      </w:pPr>
      <w:r>
        <w:rPr>
          <w:rFonts w:ascii="Times New Roman" w:hAnsi="Times New Roman"/>
        </w:rPr>
        <w:t>2、需</w:t>
      </w:r>
      <w:r>
        <w:rPr>
          <w:rFonts w:ascii="Times New Roman" w:hAnsi="Times New Roman"/>
          <w:bCs/>
        </w:rPr>
        <w:t>提供</w:t>
      </w:r>
      <w:r>
        <w:rPr>
          <w:rFonts w:ascii="Times New Roman" w:hAnsi="Times New Roman"/>
        </w:rPr>
        <w:t>投标截止时间前三个月（2020年5月至2020年7月）内任意一个月缴纳社会保障资金的证明材料复印件须加盖本单位公章。</w:t>
      </w:r>
    </w:p>
    <w:p>
      <w:pPr>
        <w:spacing w:after="120"/>
        <w:ind w:firstLine="480" w:firstLineChars="200"/>
        <w:rPr>
          <w:rFonts w:ascii="Times New Roman" w:hAnsi="Times New Roman"/>
          <w:b/>
          <w:sz w:val="32"/>
          <w:szCs w:val="32"/>
        </w:rPr>
      </w:pPr>
      <w:r>
        <w:rPr>
          <w:rFonts w:ascii="Times New Roman" w:hAnsi="Times New Roman"/>
          <w:bCs/>
        </w:rPr>
        <w:t>3、依法免税或不需要缴纳社会保障资金的供应商，应提供相应的文件证明。</w:t>
      </w:r>
    </w:p>
    <w:p>
      <w:pPr>
        <w:ind w:firstLine="480" w:firstLineChars="200"/>
        <w:rPr>
          <w:rFonts w:ascii="Times New Roman" w:hAnsi="Times New Roman"/>
        </w:rPr>
      </w:pPr>
    </w:p>
    <w:p>
      <w:pPr>
        <w:ind w:firstLine="480" w:firstLineChars="200"/>
        <w:rPr>
          <w:rFonts w:ascii="Times New Roman" w:hAnsi="Times New Roman"/>
        </w:rPr>
      </w:pPr>
    </w:p>
    <w:p>
      <w:pPr>
        <w:ind w:firstLine="480" w:firstLineChars="200"/>
        <w:rPr>
          <w:rFonts w:ascii="Times New Roman" w:hAnsi="Times New Roman"/>
        </w:rPr>
      </w:pPr>
    </w:p>
    <w:p>
      <w:pPr>
        <w:ind w:firstLine="480" w:firstLineChars="200"/>
        <w:rPr>
          <w:rFonts w:ascii="Times New Roman" w:hAnsi="Times New Roman"/>
        </w:rPr>
      </w:pPr>
    </w:p>
    <w:p>
      <w:pPr>
        <w:ind w:firstLine="480" w:firstLineChars="200"/>
        <w:rPr>
          <w:rFonts w:ascii="Times New Roman" w:hAnsi="Times New Roman"/>
        </w:rPr>
      </w:pPr>
    </w:p>
    <w:p>
      <w:pPr>
        <w:ind w:firstLine="480" w:firstLineChars="200"/>
        <w:rPr>
          <w:rFonts w:ascii="Times New Roman" w:hAnsi="Times New Roman"/>
        </w:rPr>
      </w:pPr>
    </w:p>
    <w:p>
      <w:pPr>
        <w:ind w:firstLine="480" w:firstLineChars="200"/>
        <w:rPr>
          <w:rFonts w:ascii="Times New Roman" w:hAnsi="Times New Roman"/>
        </w:rPr>
      </w:pPr>
    </w:p>
    <w:p>
      <w:pPr>
        <w:ind w:firstLine="480" w:firstLineChars="200"/>
        <w:rPr>
          <w:rFonts w:ascii="Times New Roman" w:hAnsi="Times New Roman"/>
        </w:rPr>
      </w:pPr>
    </w:p>
    <w:p>
      <w:pPr>
        <w:autoSpaceDE w:val="0"/>
        <w:autoSpaceDN w:val="0"/>
        <w:adjustRightInd w:val="0"/>
        <w:ind w:firstLine="480" w:firstLineChars="200"/>
        <w:rPr>
          <w:rFonts w:ascii="Times New Roman" w:hAnsi="Times New Roman"/>
        </w:rPr>
      </w:pPr>
      <w:r>
        <w:rPr>
          <w:rFonts w:ascii="Times New Roman" w:hAnsi="Times New Roman"/>
        </w:rPr>
        <w:t>本单位成立以来，一直按照国家和地方有关规定，依法缴纳税收及社会保障资金，具有良好记录。</w:t>
      </w:r>
    </w:p>
    <w:p>
      <w:pPr>
        <w:autoSpaceDE w:val="0"/>
        <w:autoSpaceDN w:val="0"/>
        <w:adjustRightInd w:val="0"/>
        <w:ind w:firstLine="480" w:firstLineChars="200"/>
        <w:rPr>
          <w:rFonts w:ascii="Times New Roman" w:hAnsi="Times New Roman"/>
        </w:rPr>
      </w:pPr>
      <w:r>
        <w:rPr>
          <w:rFonts w:ascii="Times New Roman" w:hAnsi="Times New Roman"/>
        </w:rPr>
        <w:t>特此声明。</w:t>
      </w:r>
    </w:p>
    <w:p>
      <w:pPr>
        <w:autoSpaceDE w:val="0"/>
        <w:autoSpaceDN w:val="0"/>
        <w:adjustRightInd w:val="0"/>
        <w:rPr>
          <w:rFonts w:ascii="Times New Roman" w:hAnsi="Times New Roman"/>
        </w:rPr>
      </w:pPr>
    </w:p>
    <w:p>
      <w:pPr>
        <w:autoSpaceDE w:val="0"/>
        <w:autoSpaceDN w:val="0"/>
        <w:adjustRightInd w:val="0"/>
        <w:rPr>
          <w:rFonts w:ascii="Times New Roman" w:hAnsi="Times New Roman"/>
        </w:rPr>
      </w:pPr>
    </w:p>
    <w:p>
      <w:pPr>
        <w:autoSpaceDE w:val="0"/>
        <w:autoSpaceDN w:val="0"/>
        <w:adjustRightInd w:val="0"/>
        <w:rPr>
          <w:rFonts w:ascii="Times New Roman" w:hAnsi="Times New Roman"/>
        </w:rPr>
      </w:pPr>
    </w:p>
    <w:p>
      <w:pPr>
        <w:autoSpaceDE w:val="0"/>
        <w:autoSpaceDN w:val="0"/>
        <w:adjustRightInd w:val="0"/>
        <w:rPr>
          <w:rFonts w:ascii="Times New Roman" w:hAnsi="Times New Roman"/>
        </w:rPr>
      </w:pPr>
    </w:p>
    <w:p>
      <w:pPr>
        <w:rPr>
          <w:rFonts w:ascii="Times New Roman" w:hAnsi="Times New Roman"/>
          <w:szCs w:val="24"/>
          <w:u w:val="single"/>
        </w:rPr>
      </w:pPr>
      <w:r>
        <w:rPr>
          <w:rFonts w:ascii="Times New Roman" w:hAnsi="Times New Roman"/>
          <w:szCs w:val="24"/>
        </w:rPr>
        <w:t>供应商法定代表人或授权代表（签字）：</w:t>
      </w:r>
    </w:p>
    <w:p>
      <w:pPr>
        <w:rPr>
          <w:rFonts w:ascii="Times New Roman" w:hAnsi="Times New Roman"/>
          <w:szCs w:val="24"/>
        </w:rPr>
      </w:pPr>
      <w:r>
        <w:rPr>
          <w:rFonts w:ascii="Times New Roman" w:hAnsi="Times New Roman"/>
          <w:szCs w:val="24"/>
        </w:rPr>
        <w:t>供应商名称（加盖单位公章）：</w:t>
      </w:r>
    </w:p>
    <w:p>
      <w:pPr>
        <w:rPr>
          <w:rFonts w:ascii="Times New Roman" w:hAnsi="Times New Roman"/>
          <w:szCs w:val="24"/>
        </w:rPr>
      </w:pPr>
      <w:r>
        <w:rPr>
          <w:rFonts w:ascii="Times New Roman" w:hAnsi="Times New Roman"/>
          <w:szCs w:val="24"/>
        </w:rPr>
        <w:t>日期：</w:t>
      </w:r>
    </w:p>
    <w:p>
      <w:pPr>
        <w:ind w:firstLine="480" w:firstLineChars="200"/>
        <w:rPr>
          <w:rFonts w:ascii="Times New Roman" w:hAnsi="Times New Roman"/>
        </w:rPr>
      </w:pPr>
    </w:p>
    <w:p>
      <w:pPr>
        <w:pStyle w:val="4"/>
        <w:pageBreakBefore/>
        <w:numPr>
          <w:ilvl w:val="0"/>
          <w:numId w:val="0"/>
        </w:numPr>
        <w:jc w:val="left"/>
        <w:rPr>
          <w:rFonts w:ascii="Times New Roman" w:hAnsi="Times New Roman"/>
        </w:rPr>
      </w:pPr>
      <w:r>
        <w:rPr>
          <w:rFonts w:ascii="Times New Roman" w:hAnsi="Times New Roman"/>
        </w:rPr>
        <w:t>8.3参加本次政府采购活动前三年内，在经营活动中没有重大违法记录的声明</w:t>
      </w:r>
      <w:r>
        <w:rPr>
          <w:rFonts w:ascii="Times New Roman" w:hAnsi="Times New Roman"/>
          <w:szCs w:val="24"/>
        </w:rPr>
        <w:t>（并须附供应商近三年内的信用记录情况截图）；</w:t>
      </w:r>
    </w:p>
    <w:bookmarkEnd w:id="262"/>
    <w:bookmarkEnd w:id="263"/>
    <w:bookmarkEnd w:id="264"/>
    <w:p>
      <w:pPr>
        <w:rPr>
          <w:rFonts w:ascii="Times New Roman" w:hAnsi="Times New Roman"/>
          <w:szCs w:val="21"/>
          <w:u w:val="single"/>
        </w:rPr>
      </w:pPr>
    </w:p>
    <w:p>
      <w:pPr>
        <w:rPr>
          <w:rFonts w:ascii="Times New Roman" w:hAnsi="Times New Roman"/>
          <w:szCs w:val="24"/>
        </w:rPr>
      </w:pPr>
    </w:p>
    <w:p>
      <w:pPr>
        <w:rPr>
          <w:rFonts w:ascii="Times New Roman" w:hAnsi="Times New Roman"/>
          <w:szCs w:val="24"/>
        </w:rPr>
      </w:pPr>
      <w:r>
        <w:rPr>
          <w:rFonts w:ascii="Times New Roman" w:hAnsi="Times New Roman"/>
          <w:shd w:val="clear" w:color="auto" w:fill="FFFFFF"/>
        </w:rPr>
        <w:t>江苏食品药品职业技术学院</w:t>
      </w:r>
      <w:r>
        <w:rPr>
          <w:rFonts w:ascii="Times New Roman" w:hAnsi="Times New Roman"/>
          <w:szCs w:val="24"/>
        </w:rPr>
        <w:t>：</w:t>
      </w:r>
    </w:p>
    <w:p>
      <w:pPr>
        <w:rPr>
          <w:rFonts w:ascii="Times New Roman" w:hAnsi="Times New Roman"/>
          <w:szCs w:val="24"/>
        </w:rPr>
      </w:pPr>
    </w:p>
    <w:p>
      <w:pPr>
        <w:ind w:firstLine="480" w:firstLineChars="200"/>
        <w:rPr>
          <w:rFonts w:ascii="Times New Roman" w:hAnsi="Times New Roman"/>
          <w:szCs w:val="24"/>
        </w:rPr>
      </w:pPr>
      <w:r>
        <w:rPr>
          <w:rFonts w:ascii="Times New Roman" w:hAnsi="Times New Roman"/>
          <w:szCs w:val="24"/>
        </w:rPr>
        <w:t>我公司在近三年内，在经营活动中没有重大违法记录（</w:t>
      </w:r>
      <w:r>
        <w:rPr>
          <w:rFonts w:ascii="Times New Roman" w:hAnsi="Times New Roman"/>
          <w:kern w:val="0"/>
          <w:szCs w:val="24"/>
        </w:rPr>
        <w:t>因违法经营受到刑事处罚或者责令停产停业、吊销许可证或者执照、较大数额罚款等行政处罚</w:t>
      </w:r>
      <w:r>
        <w:rPr>
          <w:rFonts w:ascii="Times New Roman" w:hAnsi="Times New Roman"/>
          <w:szCs w:val="24"/>
        </w:rPr>
        <w:t>）。</w:t>
      </w:r>
    </w:p>
    <w:p>
      <w:pPr>
        <w:rPr>
          <w:rFonts w:ascii="Times New Roman" w:hAnsi="Times New Roman"/>
          <w:szCs w:val="24"/>
        </w:rPr>
      </w:pPr>
    </w:p>
    <w:p>
      <w:pPr>
        <w:ind w:firstLine="480" w:firstLineChars="200"/>
        <w:rPr>
          <w:rFonts w:ascii="Times New Roman" w:hAnsi="Times New Roman"/>
          <w:szCs w:val="24"/>
        </w:rPr>
      </w:pPr>
      <w:r>
        <w:rPr>
          <w:rFonts w:ascii="Times New Roman" w:hAnsi="Times New Roman"/>
          <w:szCs w:val="24"/>
        </w:rPr>
        <w:t>特此声明。</w:t>
      </w:r>
    </w:p>
    <w:p>
      <w:pPr>
        <w:ind w:firstLine="480" w:firstLineChars="200"/>
        <w:rPr>
          <w:rFonts w:ascii="Times New Roman" w:hAnsi="Times New Roman"/>
          <w:szCs w:val="24"/>
        </w:rPr>
      </w:pPr>
    </w:p>
    <w:p>
      <w:pPr>
        <w:ind w:firstLine="480" w:firstLineChars="200"/>
        <w:rPr>
          <w:rFonts w:ascii="Times New Roman" w:hAnsi="Times New Roman"/>
          <w:szCs w:val="24"/>
        </w:rPr>
      </w:pPr>
    </w:p>
    <w:p>
      <w:pPr>
        <w:ind w:firstLine="480" w:firstLineChars="200"/>
        <w:rPr>
          <w:rFonts w:ascii="Times New Roman" w:hAnsi="Times New Roman"/>
          <w:szCs w:val="24"/>
        </w:rPr>
      </w:pPr>
    </w:p>
    <w:p>
      <w:pPr>
        <w:ind w:firstLine="480" w:firstLineChars="200"/>
        <w:rPr>
          <w:rFonts w:ascii="Times New Roman" w:hAnsi="Times New Roman"/>
          <w:szCs w:val="24"/>
        </w:rPr>
      </w:pPr>
    </w:p>
    <w:p>
      <w:pPr>
        <w:rPr>
          <w:rFonts w:ascii="Times New Roman" w:hAnsi="Times New Roman"/>
          <w:szCs w:val="24"/>
          <w:u w:val="single"/>
        </w:rPr>
      </w:pPr>
      <w:r>
        <w:rPr>
          <w:rFonts w:ascii="Times New Roman" w:hAnsi="Times New Roman"/>
          <w:szCs w:val="24"/>
        </w:rPr>
        <w:t>供应商法定代表人或授权代表（签字）：</w:t>
      </w:r>
    </w:p>
    <w:p>
      <w:pPr>
        <w:rPr>
          <w:rFonts w:ascii="Times New Roman" w:hAnsi="Times New Roman"/>
          <w:szCs w:val="24"/>
        </w:rPr>
      </w:pPr>
      <w:r>
        <w:rPr>
          <w:rFonts w:ascii="Times New Roman" w:hAnsi="Times New Roman"/>
          <w:szCs w:val="24"/>
        </w:rPr>
        <w:t>供应商名称（加盖单位公章）：</w:t>
      </w:r>
    </w:p>
    <w:p>
      <w:pPr>
        <w:rPr>
          <w:rFonts w:ascii="Times New Roman" w:hAnsi="Times New Roman"/>
          <w:szCs w:val="24"/>
        </w:rPr>
      </w:pPr>
      <w:r>
        <w:rPr>
          <w:rFonts w:ascii="Times New Roman" w:hAnsi="Times New Roman"/>
          <w:szCs w:val="24"/>
        </w:rPr>
        <w:t>日期：</w:t>
      </w:r>
    </w:p>
    <w:p>
      <w:pPr>
        <w:ind w:firstLine="5280" w:firstLineChars="2200"/>
        <w:rPr>
          <w:rFonts w:ascii="Times New Roman" w:hAnsi="Times New Roman"/>
          <w:szCs w:val="24"/>
        </w:rPr>
      </w:pPr>
    </w:p>
    <w:p>
      <w:pPr>
        <w:rPr>
          <w:rFonts w:ascii="Times New Roman" w:hAnsi="Times New Roman"/>
          <w:szCs w:val="24"/>
        </w:rPr>
      </w:pPr>
      <w:r>
        <w:rPr>
          <w:rFonts w:ascii="Times New Roman" w:hAnsi="Times New Roman"/>
          <w:b/>
          <w:szCs w:val="24"/>
        </w:rPr>
        <w:t>注：</w:t>
      </w:r>
    </w:p>
    <w:p>
      <w:pPr>
        <w:ind w:firstLine="480" w:firstLineChars="200"/>
        <w:rPr>
          <w:rFonts w:ascii="Times New Roman" w:hAnsi="Times New Roman"/>
          <w:kern w:val="0"/>
          <w:szCs w:val="24"/>
        </w:rPr>
      </w:pPr>
      <w:r>
        <w:rPr>
          <w:rFonts w:ascii="Times New Roman" w:hAnsi="Times New Roman"/>
          <w:szCs w:val="24"/>
        </w:rPr>
        <w:t>1、</w:t>
      </w:r>
      <w:r>
        <w:rPr>
          <w:rFonts w:ascii="Times New Roman" w:hAnsi="Times New Roman"/>
          <w:kern w:val="0"/>
          <w:szCs w:val="24"/>
        </w:rPr>
        <w:t>信用信息查询渠道：信用中国网站（www.creditchina.gov.cn）、中国政府采购网-政府采购严重违法失信行为信息记录（http://www.ccgp.gov.cn/cr/list）；</w:t>
      </w:r>
    </w:p>
    <w:p>
      <w:pPr>
        <w:ind w:firstLine="480" w:firstLineChars="200"/>
        <w:rPr>
          <w:rFonts w:ascii="Times New Roman" w:hAnsi="Times New Roman"/>
          <w:kern w:val="0"/>
          <w:szCs w:val="24"/>
        </w:rPr>
      </w:pPr>
      <w:r>
        <w:rPr>
          <w:rFonts w:ascii="Times New Roman" w:hAnsi="Times New Roman"/>
          <w:kern w:val="0"/>
          <w:szCs w:val="24"/>
        </w:rPr>
        <w:t>2、信用信息查询截止时点：投标截止时间（文件提交截止时间）前3</w:t>
      </w:r>
      <w:r>
        <w:rPr>
          <w:rFonts w:hint="eastAsia" w:ascii="Times New Roman" w:hAnsi="Times New Roman"/>
          <w:kern w:val="0"/>
          <w:szCs w:val="24"/>
        </w:rPr>
        <w:t>个工作</w:t>
      </w:r>
      <w:r>
        <w:rPr>
          <w:rFonts w:ascii="Times New Roman" w:hAnsi="Times New Roman"/>
          <w:kern w:val="0"/>
          <w:szCs w:val="24"/>
        </w:rPr>
        <w:t>日内；</w:t>
      </w:r>
    </w:p>
    <w:p>
      <w:pPr>
        <w:ind w:firstLine="480" w:firstLineChars="200"/>
        <w:rPr>
          <w:rFonts w:ascii="Times New Roman" w:hAnsi="Times New Roman"/>
          <w:kern w:val="0"/>
          <w:szCs w:val="24"/>
        </w:rPr>
      </w:pPr>
      <w:r>
        <w:rPr>
          <w:rFonts w:ascii="Times New Roman" w:hAnsi="Times New Roman"/>
          <w:kern w:val="0"/>
          <w:szCs w:val="24"/>
        </w:rPr>
        <w:t>3、信用信息查询记录和证据留存的具体方式：网站查询截图打印稿形式与其他采购文件一并保存；</w:t>
      </w:r>
    </w:p>
    <w:p>
      <w:pPr>
        <w:ind w:firstLine="480" w:firstLineChars="200"/>
        <w:rPr>
          <w:rFonts w:ascii="Times New Roman" w:hAnsi="Times New Roman"/>
          <w:kern w:val="0"/>
          <w:szCs w:val="24"/>
        </w:rPr>
      </w:pPr>
      <w:r>
        <w:rPr>
          <w:rFonts w:ascii="Times New Roman" w:hAnsi="Times New Roman"/>
          <w:kern w:val="0"/>
          <w:szCs w:val="24"/>
        </w:rPr>
        <w:t>4、信用信息的使用规则：对列入失信被执行人、重大税收违法案件当事人名单、政府采购严重违法失信行为记录名单及其他不符合《中华人民共和国政府采购法》第二十二条规定条件的供应商，将拒绝其投标；</w:t>
      </w:r>
      <w:r>
        <w:rPr>
          <w:rFonts w:ascii="Times New Roman" w:hAnsi="Times New Roman"/>
          <w:kern w:val="0"/>
        </w:rPr>
        <w:t>其中，列入政府采购严重违法失信行为记录名单的供应商，禁止参加政府采购活动的时间按处罚结果执行，但不受区域限制（根据财库〔2015〕150号《关于规范政府采购行政处罚有关问题的通知》，相关行政处罚决定在全国范围内生效）。</w:t>
      </w:r>
    </w:p>
    <w:p>
      <w:pPr>
        <w:pStyle w:val="4"/>
        <w:pageBreakBefore/>
        <w:numPr>
          <w:ilvl w:val="0"/>
          <w:numId w:val="0"/>
        </w:numPr>
        <w:jc w:val="left"/>
        <w:rPr>
          <w:rFonts w:ascii="Times New Roman" w:hAnsi="Times New Roman"/>
        </w:rPr>
      </w:pPr>
      <w:r>
        <w:rPr>
          <w:rFonts w:ascii="Times New Roman" w:hAnsi="Times New Roman"/>
        </w:rPr>
        <w:t>8.4供应商的资信证明</w:t>
      </w:r>
      <w:r>
        <w:rPr>
          <w:rFonts w:ascii="Times New Roman" w:hAnsi="Times New Roman"/>
          <w:szCs w:val="24"/>
        </w:rPr>
        <w:t>（会计师事务所出具的上一年度审计报告或银行出具的资信证明）</w:t>
      </w:r>
    </w:p>
    <w:p>
      <w:pPr>
        <w:autoSpaceDE w:val="0"/>
        <w:autoSpaceDN w:val="0"/>
        <w:adjustRightInd w:val="0"/>
        <w:rPr>
          <w:rFonts w:ascii="Times New Roman" w:hAnsi="Times New Roman"/>
          <w:kern w:val="0"/>
          <w:szCs w:val="21"/>
          <w:lang w:val="zh-CN"/>
        </w:rPr>
      </w:pPr>
      <w:r>
        <w:rPr>
          <w:rFonts w:ascii="Times New Roman" w:hAnsi="Times New Roman"/>
        </w:rPr>
        <w:t>供应商提供本单位上一年度经会计师事务所出具的审计报告复印件并加盖供应商公章。如供应商无法提供上一年度审计报告，则需提供银行出具的资信证明。</w:t>
      </w:r>
    </w:p>
    <w:p>
      <w:pPr>
        <w:ind w:firstLine="435"/>
        <w:rPr>
          <w:rFonts w:ascii="Times New Roman" w:hAnsi="Times New Roman"/>
        </w:rPr>
      </w:pPr>
      <w:r>
        <w:rPr>
          <w:rFonts w:ascii="Times New Roman" w:hAnsi="Times New Roman"/>
        </w:rPr>
        <w:t>供应商以专业担保机构出具的投标担保函的形式交纳投标保证金的，可不再提供上述资信证明。</w:t>
      </w:r>
    </w:p>
    <w:p>
      <w:pPr>
        <w:ind w:firstLine="435"/>
        <w:rPr>
          <w:rFonts w:ascii="Times New Roman" w:hAnsi="Times New Roman"/>
        </w:rPr>
      </w:pPr>
      <w:r>
        <w:rPr>
          <w:rFonts w:ascii="Times New Roman" w:hAnsi="Times New Roman"/>
        </w:rPr>
        <w:t>说明：</w:t>
      </w:r>
    </w:p>
    <w:p>
      <w:pPr>
        <w:ind w:firstLine="435"/>
        <w:rPr>
          <w:rFonts w:ascii="Times New Roman" w:hAnsi="Times New Roman"/>
        </w:rPr>
      </w:pPr>
      <w:r>
        <w:rPr>
          <w:rFonts w:ascii="Times New Roman" w:hAnsi="Times New Roman"/>
        </w:rPr>
        <w:t>1、审计报告复印件至少应包括资产负债表、利润表、现金流量表及其附注、加盖会计师事务所公章页。</w:t>
      </w:r>
    </w:p>
    <w:p>
      <w:pPr>
        <w:ind w:firstLine="435"/>
        <w:rPr>
          <w:rFonts w:ascii="Times New Roman" w:hAnsi="Times New Roman"/>
          <w:szCs w:val="24"/>
        </w:rPr>
      </w:pPr>
      <w:r>
        <w:rPr>
          <w:rFonts w:ascii="Times New Roman" w:hAnsi="Times New Roman"/>
        </w:rPr>
        <w:t>2、银行资信证明是指供应商参加本次投标截止日前三个月内开立基本账户的银行开具的资信证明（成立一年内的公司可提交当年验资证明复印件并加盖公章）</w:t>
      </w:r>
      <w:r>
        <w:rPr>
          <w:rFonts w:ascii="Times New Roman" w:hAnsi="Times New Roman"/>
          <w:szCs w:val="24"/>
        </w:rPr>
        <w:t>，且无收受人和项目的限制，但开具银行有限制规定的除外。</w:t>
      </w:r>
    </w:p>
    <w:p>
      <w:pPr>
        <w:ind w:firstLine="435"/>
        <w:rPr>
          <w:rFonts w:ascii="Times New Roman" w:hAnsi="Times New Roman"/>
        </w:rPr>
      </w:pPr>
      <w:r>
        <w:rPr>
          <w:rFonts w:ascii="Times New Roman" w:hAnsi="Times New Roman"/>
        </w:rPr>
        <w:t>3、银行资信证明可以是复印件并加盖供应商公章，评标委员会保留审核原件的权利。</w:t>
      </w:r>
    </w:p>
    <w:p>
      <w:pPr>
        <w:adjustRightInd w:val="0"/>
        <w:ind w:firstLine="480" w:firstLineChars="200"/>
        <w:rPr>
          <w:rFonts w:ascii="Times New Roman" w:hAnsi="Times New Roman"/>
        </w:rPr>
      </w:pPr>
      <w:r>
        <w:rPr>
          <w:rFonts w:ascii="Times New Roman" w:hAnsi="Times New Roman"/>
        </w:rPr>
        <w:t>4、银行资信证明应能说明该供应商与银行之间业务往来正常，无不良记录，企业信誉良好等。银行出具的存款证明不能作为银行资信证明。</w:t>
      </w:r>
    </w:p>
    <w:p>
      <w:pPr>
        <w:adjustRightInd w:val="0"/>
        <w:rPr>
          <w:rFonts w:ascii="Times New Roman" w:hAnsi="Times New Roman"/>
        </w:rPr>
      </w:pPr>
    </w:p>
    <w:p>
      <w:pPr>
        <w:adjustRightInd w:val="0"/>
        <w:ind w:firstLine="480" w:firstLineChars="200"/>
        <w:rPr>
          <w:rFonts w:ascii="Times New Roman" w:hAnsi="Times New Roman"/>
        </w:rPr>
      </w:pPr>
    </w:p>
    <w:p>
      <w:pPr>
        <w:adjustRightInd w:val="0"/>
        <w:ind w:firstLine="480" w:firstLineChars="200"/>
        <w:rPr>
          <w:rFonts w:ascii="Times New Roman" w:hAnsi="Times New Roman"/>
        </w:rPr>
      </w:pPr>
    </w:p>
    <w:p>
      <w:pPr>
        <w:adjustRightInd w:val="0"/>
        <w:ind w:firstLine="480" w:firstLineChars="200"/>
        <w:rPr>
          <w:rFonts w:ascii="Times New Roman" w:hAnsi="Times New Roman"/>
        </w:rPr>
      </w:pPr>
    </w:p>
    <w:p>
      <w:pPr>
        <w:adjustRightInd w:val="0"/>
        <w:ind w:firstLine="480" w:firstLineChars="200"/>
        <w:rPr>
          <w:rFonts w:ascii="Times New Roman" w:hAnsi="Times New Roman"/>
        </w:rPr>
      </w:pPr>
    </w:p>
    <w:p>
      <w:pPr>
        <w:adjustRightInd w:val="0"/>
        <w:ind w:firstLine="480" w:firstLineChars="200"/>
        <w:rPr>
          <w:rFonts w:ascii="Times New Roman" w:hAnsi="Times New Roman"/>
        </w:rPr>
      </w:pPr>
    </w:p>
    <w:p>
      <w:pPr>
        <w:adjustRightInd w:val="0"/>
        <w:ind w:firstLine="480" w:firstLineChars="200"/>
        <w:rPr>
          <w:rFonts w:ascii="Times New Roman" w:hAnsi="Times New Roman"/>
        </w:rPr>
      </w:pPr>
    </w:p>
    <w:p>
      <w:pPr>
        <w:adjustRightInd w:val="0"/>
        <w:ind w:firstLine="480" w:firstLineChars="200"/>
        <w:rPr>
          <w:rFonts w:ascii="Times New Roman" w:hAnsi="Times New Roman"/>
        </w:rPr>
      </w:pPr>
    </w:p>
    <w:p>
      <w:pPr>
        <w:adjustRightInd w:val="0"/>
        <w:ind w:firstLine="480" w:firstLineChars="200"/>
        <w:rPr>
          <w:rFonts w:ascii="Times New Roman" w:hAnsi="Times New Roman"/>
        </w:rPr>
      </w:pPr>
    </w:p>
    <w:p>
      <w:pPr>
        <w:adjustRightInd w:val="0"/>
        <w:ind w:firstLine="480" w:firstLineChars="200"/>
        <w:rPr>
          <w:rFonts w:ascii="Times New Roman" w:hAnsi="Times New Roman"/>
        </w:rPr>
      </w:pPr>
    </w:p>
    <w:p>
      <w:pPr>
        <w:adjustRightInd w:val="0"/>
        <w:ind w:firstLine="480" w:firstLineChars="200"/>
        <w:rPr>
          <w:rFonts w:ascii="Times New Roman" w:hAnsi="Times New Roman"/>
        </w:rPr>
      </w:pPr>
    </w:p>
    <w:p>
      <w:pPr>
        <w:adjustRightInd w:val="0"/>
        <w:ind w:firstLine="480" w:firstLineChars="200"/>
        <w:rPr>
          <w:rFonts w:ascii="Times New Roman" w:hAnsi="Times New Roman"/>
        </w:rPr>
      </w:pPr>
    </w:p>
    <w:p>
      <w:pPr>
        <w:adjustRightInd w:val="0"/>
        <w:ind w:firstLine="482" w:firstLineChars="200"/>
        <w:rPr>
          <w:rFonts w:ascii="Times New Roman" w:hAnsi="Times New Roman"/>
          <w:b/>
        </w:rPr>
      </w:pPr>
    </w:p>
    <w:p>
      <w:pPr>
        <w:rPr>
          <w:rFonts w:ascii="Times New Roman" w:hAnsi="Times New Roman"/>
        </w:rPr>
      </w:pPr>
    </w:p>
    <w:p>
      <w:pPr>
        <w:pStyle w:val="4"/>
        <w:pageBreakBefore/>
        <w:numPr>
          <w:ilvl w:val="0"/>
          <w:numId w:val="0"/>
        </w:numPr>
        <w:jc w:val="left"/>
        <w:rPr>
          <w:rFonts w:ascii="Times New Roman" w:hAnsi="Times New Roman"/>
        </w:rPr>
        <w:sectPr>
          <w:headerReference r:id="rId21" w:type="default"/>
          <w:pgSz w:w="11907" w:h="16840"/>
          <w:pgMar w:top="1134" w:right="1134" w:bottom="1134" w:left="1134" w:header="851" w:footer="680" w:gutter="0"/>
          <w:cols w:space="720" w:num="1"/>
          <w:docGrid w:linePitch="326" w:charSpace="0"/>
        </w:sectPr>
      </w:pPr>
    </w:p>
    <w:bookmarkEnd w:id="254"/>
    <w:bookmarkEnd w:id="255"/>
    <w:p>
      <w:pPr>
        <w:pStyle w:val="4"/>
        <w:pageBreakBefore/>
        <w:numPr>
          <w:ilvl w:val="0"/>
          <w:numId w:val="0"/>
        </w:numPr>
        <w:jc w:val="left"/>
        <w:rPr>
          <w:rFonts w:ascii="Times New Roman" w:hAnsi="Times New Roman"/>
          <w:szCs w:val="24"/>
        </w:rPr>
      </w:pPr>
      <w:r>
        <w:rPr>
          <w:rFonts w:ascii="Times New Roman" w:hAnsi="Times New Roman"/>
          <w:szCs w:val="24"/>
        </w:rPr>
        <w:t>8.5符合磋商文件第一章“供应商的资格要求”中第2）条的声明或证明材料（加盖单位公章）</w:t>
      </w:r>
    </w:p>
    <w:p>
      <w:pPr>
        <w:rPr>
          <w:rFonts w:ascii="Times New Roman" w:hAnsi="Times New Roman"/>
          <w:szCs w:val="21"/>
          <w:u w:val="single"/>
        </w:rPr>
      </w:pPr>
    </w:p>
    <w:p>
      <w:pPr>
        <w:ind w:firstLine="480" w:firstLineChars="200"/>
        <w:rPr>
          <w:rFonts w:ascii="Times New Roman" w:hAnsi="Times New Roman"/>
          <w:szCs w:val="21"/>
        </w:rPr>
      </w:pPr>
      <w:r>
        <w:rPr>
          <w:rFonts w:ascii="Times New Roman" w:hAnsi="Times New Roman"/>
          <w:szCs w:val="21"/>
        </w:rPr>
        <w:t>注：1、供应商应当根据自身存在的情形，如实披露与本单位负责人为同一人或者存在直接控股、管理关系的供应商情况。</w:t>
      </w:r>
    </w:p>
    <w:p>
      <w:pPr>
        <w:ind w:firstLine="480" w:firstLineChars="200"/>
        <w:rPr>
          <w:rFonts w:ascii="Times New Roman" w:hAnsi="Times New Roman"/>
          <w:szCs w:val="21"/>
        </w:rPr>
      </w:pPr>
    </w:p>
    <w:p>
      <w:pPr>
        <w:ind w:firstLine="480" w:firstLineChars="200"/>
        <w:rPr>
          <w:rFonts w:ascii="Times New Roman" w:hAnsi="Times New Roman"/>
          <w:szCs w:val="21"/>
        </w:rPr>
      </w:pPr>
      <w:r>
        <w:rPr>
          <w:rFonts w:ascii="Times New Roman" w:hAnsi="Times New Roman"/>
          <w:kern w:val="0"/>
          <w:szCs w:val="21"/>
          <w:lang w:val="zh-CN"/>
        </w:rPr>
        <w:t>2、单位负责人为同一人或者存在直接控股、管理关系的不同供应商，同时参加本项目同一包的投标，相关投标均无效。</w:t>
      </w:r>
    </w:p>
    <w:p>
      <w:pPr>
        <w:rPr>
          <w:rFonts w:ascii="Times New Roman" w:hAnsi="Times New Roman"/>
          <w:szCs w:val="21"/>
        </w:rPr>
      </w:pPr>
    </w:p>
    <w:p>
      <w:pPr>
        <w:rPr>
          <w:rFonts w:ascii="Times New Roman" w:hAnsi="Times New Roman"/>
          <w:szCs w:val="21"/>
        </w:rPr>
      </w:pPr>
      <w:r>
        <w:rPr>
          <w:rFonts w:ascii="Times New Roman" w:hAnsi="Times New Roman"/>
          <w:szCs w:val="21"/>
        </w:rPr>
        <w:t>（如不存在上述情况，请提供如下声明）</w:t>
      </w:r>
    </w:p>
    <w:p>
      <w:pPr>
        <w:rPr>
          <w:rFonts w:ascii="Times New Roman" w:hAnsi="Times New Roman"/>
          <w:szCs w:val="21"/>
        </w:rPr>
      </w:pPr>
    </w:p>
    <w:p>
      <w:pPr>
        <w:rPr>
          <w:rFonts w:ascii="Times New Roman" w:hAnsi="Times New Roman"/>
          <w:szCs w:val="24"/>
        </w:rPr>
      </w:pPr>
      <w:r>
        <w:rPr>
          <w:rFonts w:ascii="Times New Roman" w:hAnsi="Times New Roman"/>
          <w:shd w:val="clear" w:color="auto" w:fill="FFFFFF"/>
        </w:rPr>
        <w:t>江苏食品药品职业技术学院</w:t>
      </w:r>
      <w:r>
        <w:rPr>
          <w:rFonts w:ascii="Times New Roman" w:hAnsi="Times New Roman"/>
          <w:szCs w:val="24"/>
        </w:rPr>
        <w:t>：</w:t>
      </w:r>
    </w:p>
    <w:p>
      <w:pPr>
        <w:rPr>
          <w:rFonts w:ascii="Times New Roman" w:hAnsi="Times New Roman"/>
          <w:szCs w:val="24"/>
        </w:rPr>
      </w:pPr>
    </w:p>
    <w:p>
      <w:pPr>
        <w:ind w:firstLine="480" w:firstLineChars="200"/>
        <w:rPr>
          <w:rFonts w:ascii="Times New Roman" w:hAnsi="Times New Roman"/>
          <w:szCs w:val="24"/>
        </w:rPr>
      </w:pPr>
      <w:r>
        <w:rPr>
          <w:rFonts w:ascii="Times New Roman" w:hAnsi="Times New Roman"/>
          <w:szCs w:val="24"/>
        </w:rPr>
        <w:t>我单位负责人（负责人姓名、身份证号），与我单位存在直接控股、管理关系的单位（单位名称），不存在与我单位负责人为同一人或者存在直接控股、管理管理的不同供应商同时参加本项目同一包投标的情形。</w:t>
      </w:r>
    </w:p>
    <w:p>
      <w:pPr>
        <w:rPr>
          <w:rFonts w:ascii="Times New Roman" w:hAnsi="Times New Roman"/>
          <w:szCs w:val="24"/>
        </w:rPr>
      </w:pPr>
    </w:p>
    <w:p>
      <w:pPr>
        <w:ind w:firstLine="480" w:firstLineChars="200"/>
        <w:rPr>
          <w:rFonts w:ascii="Times New Roman" w:hAnsi="Times New Roman"/>
          <w:szCs w:val="24"/>
        </w:rPr>
      </w:pPr>
      <w:r>
        <w:rPr>
          <w:rFonts w:ascii="Times New Roman" w:hAnsi="Times New Roman"/>
          <w:szCs w:val="24"/>
        </w:rPr>
        <w:t>特此声明。</w:t>
      </w:r>
    </w:p>
    <w:p>
      <w:pPr>
        <w:ind w:firstLine="480" w:firstLineChars="200"/>
        <w:rPr>
          <w:rFonts w:ascii="Times New Roman" w:hAnsi="Times New Roman"/>
          <w:szCs w:val="24"/>
        </w:rPr>
      </w:pPr>
    </w:p>
    <w:p>
      <w:pPr>
        <w:ind w:firstLine="480" w:firstLineChars="200"/>
        <w:rPr>
          <w:rFonts w:ascii="Times New Roman" w:hAnsi="Times New Roman"/>
          <w:szCs w:val="24"/>
        </w:rPr>
      </w:pPr>
    </w:p>
    <w:p>
      <w:pPr>
        <w:ind w:firstLine="480" w:firstLineChars="200"/>
        <w:rPr>
          <w:rFonts w:ascii="Times New Roman" w:hAnsi="Times New Roman"/>
          <w:szCs w:val="24"/>
        </w:rPr>
      </w:pPr>
    </w:p>
    <w:p>
      <w:pPr>
        <w:ind w:firstLine="480" w:firstLineChars="200"/>
        <w:rPr>
          <w:rFonts w:ascii="Times New Roman" w:hAnsi="Times New Roman"/>
          <w:szCs w:val="24"/>
        </w:rPr>
      </w:pPr>
    </w:p>
    <w:p>
      <w:pPr>
        <w:ind w:firstLine="480" w:firstLineChars="200"/>
        <w:rPr>
          <w:rFonts w:ascii="Times New Roman" w:hAnsi="Times New Roman"/>
          <w:szCs w:val="24"/>
        </w:rPr>
      </w:pPr>
    </w:p>
    <w:p>
      <w:pPr>
        <w:rPr>
          <w:rFonts w:ascii="Times New Roman" w:hAnsi="Times New Roman"/>
          <w:szCs w:val="24"/>
          <w:u w:val="single"/>
        </w:rPr>
      </w:pPr>
      <w:r>
        <w:rPr>
          <w:rFonts w:ascii="Times New Roman" w:hAnsi="Times New Roman"/>
          <w:szCs w:val="24"/>
        </w:rPr>
        <w:t>供应商法定代表人或授权代表（签字）：</w:t>
      </w:r>
    </w:p>
    <w:p>
      <w:pPr>
        <w:rPr>
          <w:rFonts w:ascii="Times New Roman" w:hAnsi="Times New Roman"/>
          <w:szCs w:val="24"/>
        </w:rPr>
      </w:pPr>
      <w:r>
        <w:rPr>
          <w:rFonts w:ascii="Times New Roman" w:hAnsi="Times New Roman"/>
          <w:szCs w:val="24"/>
        </w:rPr>
        <w:t>供应商名称（加盖单位公章）：</w:t>
      </w:r>
    </w:p>
    <w:p>
      <w:pPr>
        <w:rPr>
          <w:rFonts w:ascii="Times New Roman" w:hAnsi="Times New Roman"/>
          <w:szCs w:val="21"/>
        </w:rPr>
      </w:pPr>
      <w:r>
        <w:rPr>
          <w:rFonts w:ascii="Times New Roman" w:hAnsi="Times New Roman"/>
          <w:szCs w:val="24"/>
        </w:rPr>
        <w:t>日期：</w:t>
      </w:r>
    </w:p>
    <w:p>
      <w:pPr>
        <w:pStyle w:val="4"/>
        <w:pageBreakBefore/>
        <w:numPr>
          <w:ilvl w:val="0"/>
          <w:numId w:val="0"/>
        </w:numPr>
        <w:ind w:left="720" w:hanging="720"/>
        <w:jc w:val="left"/>
        <w:rPr>
          <w:rFonts w:ascii="Times New Roman" w:hAnsi="Times New Roman"/>
          <w:szCs w:val="24"/>
        </w:rPr>
      </w:pPr>
      <w:r>
        <w:rPr>
          <w:rFonts w:ascii="Times New Roman" w:hAnsi="Times New Roman"/>
          <w:szCs w:val="24"/>
        </w:rPr>
        <w:t>8.6供应商不是为本项目某包提供整体设计、规范编制或者项目管理、监理、检测等服务的供应商的声明</w:t>
      </w:r>
    </w:p>
    <w:p>
      <w:pPr>
        <w:rPr>
          <w:rFonts w:ascii="Times New Roman" w:hAnsi="Times New Roman"/>
          <w:szCs w:val="21"/>
          <w:u w:val="single"/>
        </w:rPr>
      </w:pPr>
    </w:p>
    <w:p>
      <w:pPr>
        <w:rPr>
          <w:rFonts w:ascii="Times New Roman" w:hAnsi="Times New Roman"/>
          <w:szCs w:val="24"/>
        </w:rPr>
      </w:pPr>
      <w:r>
        <w:rPr>
          <w:rFonts w:ascii="Times New Roman" w:hAnsi="Times New Roman"/>
          <w:shd w:val="clear" w:color="auto" w:fill="FFFFFF"/>
        </w:rPr>
        <w:t>江苏食品药品职业技术学院</w:t>
      </w:r>
      <w:r>
        <w:rPr>
          <w:rFonts w:ascii="Times New Roman" w:hAnsi="Times New Roman"/>
          <w:szCs w:val="24"/>
        </w:rPr>
        <w:t>：</w:t>
      </w:r>
    </w:p>
    <w:p>
      <w:pPr>
        <w:rPr>
          <w:rFonts w:ascii="Times New Roman" w:hAnsi="Times New Roman"/>
          <w:szCs w:val="24"/>
        </w:rPr>
      </w:pPr>
    </w:p>
    <w:p>
      <w:pPr>
        <w:ind w:firstLine="480" w:firstLineChars="200"/>
        <w:rPr>
          <w:rFonts w:ascii="Times New Roman" w:hAnsi="Times New Roman"/>
          <w:szCs w:val="24"/>
        </w:rPr>
      </w:pPr>
      <w:r>
        <w:rPr>
          <w:rFonts w:ascii="Times New Roman" w:hAnsi="Times New Roman"/>
          <w:szCs w:val="24"/>
        </w:rPr>
        <w:t>我公司</w:t>
      </w:r>
      <w:r>
        <w:rPr>
          <w:rFonts w:ascii="Times New Roman" w:hAnsi="Times New Roman"/>
        </w:rPr>
        <w:t>不是为本项目某包提供整体设计、规范编制或者项目管理、监理、检测等服务的供应商</w:t>
      </w:r>
      <w:r>
        <w:rPr>
          <w:rFonts w:ascii="Times New Roman" w:hAnsi="Times New Roman"/>
          <w:szCs w:val="24"/>
        </w:rPr>
        <w:t>。</w:t>
      </w:r>
    </w:p>
    <w:p>
      <w:pPr>
        <w:rPr>
          <w:rFonts w:ascii="Times New Roman" w:hAnsi="Times New Roman"/>
          <w:szCs w:val="24"/>
        </w:rPr>
      </w:pPr>
    </w:p>
    <w:p>
      <w:pPr>
        <w:ind w:firstLine="480" w:firstLineChars="200"/>
        <w:rPr>
          <w:rFonts w:ascii="Times New Roman" w:hAnsi="Times New Roman"/>
          <w:szCs w:val="24"/>
        </w:rPr>
      </w:pPr>
      <w:r>
        <w:rPr>
          <w:rFonts w:ascii="Times New Roman" w:hAnsi="Times New Roman"/>
          <w:szCs w:val="24"/>
        </w:rPr>
        <w:t>特此声明。</w:t>
      </w:r>
    </w:p>
    <w:p>
      <w:pPr>
        <w:ind w:firstLine="480" w:firstLineChars="200"/>
        <w:rPr>
          <w:rFonts w:ascii="Times New Roman" w:hAnsi="Times New Roman"/>
          <w:szCs w:val="24"/>
        </w:rPr>
      </w:pPr>
    </w:p>
    <w:p>
      <w:pPr>
        <w:ind w:firstLine="480" w:firstLineChars="200"/>
        <w:rPr>
          <w:rFonts w:ascii="Times New Roman" w:hAnsi="Times New Roman"/>
          <w:szCs w:val="24"/>
        </w:rPr>
      </w:pPr>
    </w:p>
    <w:p>
      <w:pPr>
        <w:ind w:firstLine="480" w:firstLineChars="200"/>
        <w:rPr>
          <w:rFonts w:ascii="Times New Roman" w:hAnsi="Times New Roman"/>
          <w:szCs w:val="24"/>
        </w:rPr>
      </w:pPr>
    </w:p>
    <w:p>
      <w:pPr>
        <w:ind w:firstLine="480" w:firstLineChars="200"/>
        <w:rPr>
          <w:rFonts w:ascii="Times New Roman" w:hAnsi="Times New Roman"/>
          <w:szCs w:val="24"/>
        </w:rPr>
      </w:pPr>
    </w:p>
    <w:p>
      <w:pPr>
        <w:ind w:firstLine="480" w:firstLineChars="200"/>
        <w:rPr>
          <w:rFonts w:ascii="Times New Roman" w:hAnsi="Times New Roman"/>
          <w:szCs w:val="24"/>
        </w:rPr>
      </w:pPr>
    </w:p>
    <w:p>
      <w:pPr>
        <w:ind w:firstLine="480" w:firstLineChars="200"/>
        <w:rPr>
          <w:rFonts w:ascii="Times New Roman" w:hAnsi="Times New Roman"/>
          <w:szCs w:val="24"/>
        </w:rPr>
      </w:pPr>
    </w:p>
    <w:p>
      <w:pPr>
        <w:ind w:firstLine="480" w:firstLineChars="200"/>
        <w:rPr>
          <w:rFonts w:ascii="Times New Roman" w:hAnsi="Times New Roman"/>
          <w:szCs w:val="24"/>
        </w:rPr>
      </w:pPr>
    </w:p>
    <w:p>
      <w:pPr>
        <w:rPr>
          <w:rFonts w:ascii="Times New Roman" w:hAnsi="Times New Roman"/>
          <w:szCs w:val="24"/>
          <w:u w:val="single"/>
        </w:rPr>
      </w:pPr>
      <w:r>
        <w:rPr>
          <w:rFonts w:ascii="Times New Roman" w:hAnsi="Times New Roman"/>
          <w:szCs w:val="24"/>
        </w:rPr>
        <w:t>供应商法定代表人或授权代表（签字）：</w:t>
      </w:r>
    </w:p>
    <w:p>
      <w:pPr>
        <w:rPr>
          <w:rFonts w:ascii="Times New Roman" w:hAnsi="Times New Roman"/>
          <w:szCs w:val="24"/>
        </w:rPr>
      </w:pPr>
      <w:r>
        <w:rPr>
          <w:rFonts w:ascii="Times New Roman" w:hAnsi="Times New Roman"/>
          <w:szCs w:val="24"/>
        </w:rPr>
        <w:t>供应商名称（加盖单位公章）：</w:t>
      </w:r>
    </w:p>
    <w:p>
      <w:pPr>
        <w:rPr>
          <w:rFonts w:ascii="Times New Roman" w:hAnsi="Times New Roman"/>
          <w:szCs w:val="24"/>
        </w:rPr>
      </w:pPr>
      <w:r>
        <w:rPr>
          <w:rFonts w:ascii="Times New Roman" w:hAnsi="Times New Roman"/>
          <w:szCs w:val="24"/>
        </w:rPr>
        <w:t>日期：</w:t>
      </w:r>
    </w:p>
    <w:p>
      <w:pPr>
        <w:pStyle w:val="27"/>
        <w:tabs>
          <w:tab w:val="left" w:pos="5580"/>
        </w:tabs>
        <w:spacing w:line="480" w:lineRule="auto"/>
        <w:rPr>
          <w:rFonts w:ascii="Times New Roman" w:hAnsi="Times New Roman" w:cs="Times New Roman"/>
        </w:rPr>
      </w:pPr>
    </w:p>
    <w:p>
      <w:pPr>
        <w:pStyle w:val="27"/>
        <w:tabs>
          <w:tab w:val="left" w:pos="5580"/>
        </w:tabs>
        <w:spacing w:line="480" w:lineRule="auto"/>
        <w:rPr>
          <w:rFonts w:ascii="Times New Roman" w:hAnsi="Times New Roman" w:cs="Times New Roman"/>
        </w:rPr>
      </w:pPr>
    </w:p>
    <w:p>
      <w:pPr>
        <w:widowControl/>
        <w:spacing w:line="240" w:lineRule="auto"/>
        <w:rPr>
          <w:rFonts w:ascii="Times New Roman" w:hAnsi="Times New Roman"/>
          <w:b/>
          <w:bCs/>
          <w:sz w:val="28"/>
          <w:szCs w:val="24"/>
        </w:rPr>
      </w:pPr>
      <w:r>
        <w:rPr>
          <w:rFonts w:ascii="Times New Roman" w:hAnsi="Times New Roman"/>
          <w:b/>
          <w:bCs/>
          <w:sz w:val="28"/>
          <w:szCs w:val="24"/>
        </w:rPr>
        <w:br w:type="page"/>
      </w:r>
    </w:p>
    <w:p>
      <w:pPr>
        <w:widowControl/>
        <w:spacing w:line="240" w:lineRule="auto"/>
        <w:rPr>
          <w:rFonts w:ascii="Times New Roman" w:hAnsi="Times New Roman"/>
          <w:sz w:val="28"/>
        </w:rPr>
      </w:pPr>
    </w:p>
    <w:sectPr>
      <w:headerReference r:id="rId22" w:type="default"/>
      <w:pgSz w:w="11907" w:h="16840"/>
      <w:pgMar w:top="1134" w:right="1134" w:bottom="1134" w:left="1134" w:header="851" w:footer="680" w:gutter="0"/>
      <w:cols w:space="720" w:num="1"/>
      <w:docGrid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华文细黑">
    <w:panose1 w:val="02010600040101010101"/>
    <w:charset w:val="86"/>
    <w:family w:val="auto"/>
    <w:pitch w:val="default"/>
    <w:sig w:usb0="00000287" w:usb1="080F0000" w:usb2="00000000" w:usb3="00000000" w:csb0="0004009F" w:csb1="DFD70000"/>
  </w:font>
  <w:font w:name="楷体_GB2312">
    <w:altName w:val="楷体"/>
    <w:panose1 w:val="00000000000000000000"/>
    <w:charset w:val="86"/>
    <w:family w:val="modern"/>
    <w:pitch w:val="default"/>
    <w:sig w:usb0="00000000" w:usb1="00000000" w:usb2="00000010" w:usb3="00000000" w:csb0="00040000" w:csb1="00000000"/>
  </w:font>
  <w:font w:name="Courier New">
    <w:panose1 w:val="02070309020205020404"/>
    <w:charset w:val="00"/>
    <w:family w:val="modern"/>
    <w:pitch w:val="default"/>
    <w:sig w:usb0="E0002AFF" w:usb1="C0007843" w:usb2="00000009" w:usb3="00000000" w:csb0="400001FF" w:csb1="FFFF0000"/>
  </w:font>
  <w:font w:name="MingLiU">
    <w:panose1 w:val="02020509000000000000"/>
    <w:charset w:val="88"/>
    <w:family w:val="modern"/>
    <w:pitch w:val="default"/>
    <w:sig w:usb0="A00002FF" w:usb1="28CFFCFA" w:usb2="00000016" w:usb3="00000000" w:csb0="00100001" w:csb1="00000000"/>
  </w:font>
  <w:font w:name="Century">
    <w:panose1 w:val="02040604050505020304"/>
    <w:charset w:val="00"/>
    <w:family w:val="roman"/>
    <w:pitch w:val="default"/>
    <w:sig w:usb0="00000287" w:usb1="00000000" w:usb2="00000000" w:usb3="00000000" w:csb0="2000009F" w:csb1="DFD70000"/>
  </w:font>
  <w:font w:name="Arial Unicode MS">
    <w:panose1 w:val="020B0604020202020204"/>
    <w:charset w:val="86"/>
    <w:family w:val="swiss"/>
    <w:pitch w:val="default"/>
    <w:sig w:usb0="FFFFFFFF" w:usb1="E9FFFFFF" w:usb2="0000003F" w:usb3="00000000" w:csb0="603F01FF" w:csb1="FFFF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方正书宋简体">
    <w:altName w:val="宋体"/>
    <w:panose1 w:val="00000000000000000000"/>
    <w:charset w:val="86"/>
    <w:family w:val="auto"/>
    <w:pitch w:val="default"/>
    <w:sig w:usb0="00000000" w:usb1="00000000" w:usb2="00000010" w:usb3="00000000" w:csb0="00040000" w:csb1="00000000"/>
  </w:font>
  <w:font w:name="方正小标宋简体">
    <w:altName w:val="SimSun-ExtB"/>
    <w:panose1 w:val="00000000000000000000"/>
    <w:charset w:val="86"/>
    <w:family w:val="auto"/>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幼圆">
    <w:panose1 w:val="02010509060101010101"/>
    <w:charset w:val="86"/>
    <w:family w:val="modern"/>
    <w:pitch w:val="default"/>
    <w:sig w:usb0="00000001" w:usb1="080E0000" w:usb2="00000000" w:usb3="00000000" w:csb0="00040000" w:csb1="00000000"/>
  </w:font>
  <w:font w:name="等线 Light">
    <w:altName w:val="宋体"/>
    <w:panose1 w:val="02010600030101010101"/>
    <w:charset w:val="86"/>
    <w:family w:val="auto"/>
    <w:pitch w:val="default"/>
    <w:sig w:usb0="00000000" w:usb1="00000000" w:usb2="00000016" w:usb3="00000000" w:csb0="0004000F" w:csb1="00000000"/>
  </w:font>
  <w:font w:name="Heiti SC Medium">
    <w:altName w:val="MS Gothic"/>
    <w:panose1 w:val="00000000000000000000"/>
    <w:charset w:val="80"/>
    <w:family w:val="auto"/>
    <w:pitch w:val="default"/>
    <w:sig w:usb0="00000000" w:usb1="00000000" w:usb2="00000010" w:usb3="00000000" w:csb0="00020000" w:csb1="00000000"/>
  </w:font>
  <w:font w:name="Apple Symbols">
    <w:altName w:val="Arial"/>
    <w:panose1 w:val="00000000000000000000"/>
    <w:charset w:val="B1"/>
    <w:family w:val="auto"/>
    <w:pitch w:val="default"/>
    <w:sig w:usb0="00000000" w:usb1="00000000" w:usb2="00000000" w:usb3="00000000" w:csb0="00000020"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MS Gothic">
    <w:panose1 w:val="020B0609070205080204"/>
    <w:charset w:val="80"/>
    <w:family w:val="auto"/>
    <w:pitch w:val="default"/>
    <w:sig w:usb0="E00002FF" w:usb1="6AC7FDFB" w:usb2="00000012" w:usb3="00000000" w:csb0="4002009F" w:csb1="DFD70000"/>
  </w:font>
  <w:font w:name="Arial">
    <w:panose1 w:val="020B0604020202020204"/>
    <w:charset w:val="B1"/>
    <w:family w:val="auto"/>
    <w:pitch w:val="default"/>
    <w:sig w:usb0="E0002AFF" w:usb1="C0007843" w:usb2="00000009" w:usb3="00000000" w:csb0="400001FF" w:csb1="FFFF0000"/>
  </w:font>
  <w:font w:name="等线">
    <w:altName w:val="Arial Unicode MS"/>
    <w:panose1 w:val="00000000000000000000"/>
    <w:charset w:val="86"/>
    <w:family w:val="auto"/>
    <w:pitch w:val="default"/>
    <w:sig w:usb0="00000000" w:usb1="00000000" w:usb2="00000000" w:usb3="00000000" w:csb0="00000000" w:csb1="00000000"/>
  </w:font>
  <w:font w:name="SimSun-ExtB">
    <w:panose1 w:val="02010609060101010101"/>
    <w:charset w:val="86"/>
    <w:family w:val="auto"/>
    <w:pitch w:val="default"/>
    <w:sig w:usb0="00000001" w:usb1="02000000" w:usb2="00000000" w:usb3="00000000" w:csb0="00040001"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framePr w:wrap="around" w:vAnchor="text" w:hAnchor="page" w:x="5881" w:y="-339"/>
      <w:rPr>
        <w:rStyle w:val="56"/>
        <w:sz w:val="24"/>
        <w:szCs w:val="24"/>
      </w:rPr>
    </w:pPr>
    <w:r>
      <w:rPr>
        <w:sz w:val="24"/>
        <w:szCs w:val="24"/>
      </w:rPr>
      <w:fldChar w:fldCharType="begin"/>
    </w:r>
    <w:r>
      <w:rPr>
        <w:rStyle w:val="56"/>
        <w:sz w:val="24"/>
        <w:szCs w:val="24"/>
      </w:rPr>
      <w:instrText xml:space="preserve">PAGE  </w:instrText>
    </w:r>
    <w:r>
      <w:rPr>
        <w:sz w:val="24"/>
        <w:szCs w:val="24"/>
      </w:rPr>
      <w:fldChar w:fldCharType="separate"/>
    </w:r>
    <w:r>
      <w:rPr>
        <w:rStyle w:val="56"/>
        <w:sz w:val="24"/>
        <w:szCs w:val="24"/>
      </w:rPr>
      <w:t>2</w:t>
    </w:r>
    <w:r>
      <w:rPr>
        <w:sz w:val="24"/>
        <w:szCs w:val="24"/>
      </w:rPr>
      <w:fldChar w:fldCharType="end"/>
    </w:r>
  </w:p>
  <w:p>
    <w:pPr>
      <w:pStyle w:val="33"/>
      <w:rPr>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94990000"/>
      <w:docPartObj>
        <w:docPartGallery w:val="AutoText"/>
      </w:docPartObj>
    </w:sdtPr>
    <w:sdtEndPr>
      <w:rPr>
        <w:sz w:val="24"/>
      </w:rPr>
    </w:sdtEndPr>
    <w:sdtContent>
      <w:p>
        <w:pPr>
          <w:pStyle w:val="33"/>
          <w:jc w:val="center"/>
          <w:rPr>
            <w:sz w:val="24"/>
          </w:rPr>
        </w:pPr>
        <w:r>
          <w:rPr>
            <w:sz w:val="24"/>
          </w:rPr>
          <w:fldChar w:fldCharType="begin"/>
        </w:r>
        <w:r>
          <w:rPr>
            <w:sz w:val="24"/>
          </w:rPr>
          <w:instrText xml:space="preserve">PAGE   \* MERGEFORMAT</w:instrText>
        </w:r>
        <w:r>
          <w:rPr>
            <w:sz w:val="24"/>
          </w:rPr>
          <w:fldChar w:fldCharType="separate"/>
        </w:r>
        <w:r>
          <w:rPr>
            <w:sz w:val="24"/>
            <w:lang w:val="zh-CN"/>
          </w:rPr>
          <w:t>2</w:t>
        </w:r>
        <w:r>
          <w:rPr>
            <w:sz w:val="24"/>
          </w:rPr>
          <w:fldChar w:fldCharType="end"/>
        </w:r>
      </w:p>
    </w:sdtContent>
  </w:sdt>
  <w:p>
    <w:pPr>
      <w:pStyle w:val="3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framePr w:wrap="around" w:vAnchor="text" w:hAnchor="page" w:x="5881" w:y="-149"/>
      <w:rPr>
        <w:rStyle w:val="56"/>
        <w:sz w:val="24"/>
        <w:szCs w:val="24"/>
      </w:rPr>
    </w:pPr>
    <w:r>
      <w:rPr>
        <w:sz w:val="24"/>
        <w:szCs w:val="24"/>
      </w:rPr>
      <w:fldChar w:fldCharType="begin"/>
    </w:r>
    <w:r>
      <w:rPr>
        <w:rStyle w:val="56"/>
        <w:sz w:val="24"/>
        <w:szCs w:val="24"/>
      </w:rPr>
      <w:instrText xml:space="preserve">PAGE  </w:instrText>
    </w:r>
    <w:r>
      <w:rPr>
        <w:sz w:val="24"/>
        <w:szCs w:val="24"/>
      </w:rPr>
      <w:fldChar w:fldCharType="separate"/>
    </w:r>
    <w:r>
      <w:rPr>
        <w:rStyle w:val="56"/>
        <w:sz w:val="24"/>
        <w:szCs w:val="24"/>
      </w:rPr>
      <w:t>6</w:t>
    </w:r>
    <w:r>
      <w:rPr>
        <w:sz w:val="24"/>
        <w:szCs w:val="24"/>
      </w:rPr>
      <w:fldChar w:fldCharType="end"/>
    </w:r>
  </w:p>
  <w:p>
    <w:pPr>
      <w:pStyle w:val="33"/>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jc w:val="center"/>
      <w:rPr>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lang w:val="zh-CN"/>
      </w:rPr>
      <w:t>24</w:t>
    </w:r>
    <w:r>
      <w:rPr>
        <w:sz w:val="24"/>
        <w:szCs w:val="24"/>
        <w:lang w:val="zh-CN"/>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framePr w:wrap="around" w:vAnchor="text" w:hAnchor="page" w:x="5881" w:y="-339"/>
      <w:rPr>
        <w:rStyle w:val="56"/>
        <w:sz w:val="24"/>
        <w:szCs w:val="24"/>
      </w:rPr>
    </w:pPr>
    <w:r>
      <w:rPr>
        <w:sz w:val="24"/>
        <w:szCs w:val="24"/>
      </w:rPr>
      <w:fldChar w:fldCharType="begin"/>
    </w:r>
    <w:r>
      <w:rPr>
        <w:rStyle w:val="56"/>
        <w:sz w:val="24"/>
        <w:szCs w:val="24"/>
      </w:rPr>
      <w:instrText xml:space="preserve">PAGE  </w:instrText>
    </w:r>
    <w:r>
      <w:rPr>
        <w:sz w:val="24"/>
        <w:szCs w:val="24"/>
      </w:rPr>
      <w:fldChar w:fldCharType="separate"/>
    </w:r>
    <w:r>
      <w:rPr>
        <w:rStyle w:val="56"/>
        <w:sz w:val="24"/>
        <w:szCs w:val="24"/>
      </w:rPr>
      <w:t>36</w:t>
    </w:r>
    <w:r>
      <w:rPr>
        <w:sz w:val="24"/>
        <w:szCs w:val="24"/>
      </w:rPr>
      <w:fldChar w:fldCharType="end"/>
    </w:r>
  </w:p>
  <w:p>
    <w:pPr>
      <w:pStyle w:val="33"/>
      <w:rPr>
        <w:szCs w:val="21"/>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9793431"/>
      <w:docPartObj>
        <w:docPartGallery w:val="AutoText"/>
      </w:docPartObj>
    </w:sdtPr>
    <w:sdtEndPr>
      <w:rPr>
        <w:sz w:val="24"/>
      </w:rPr>
    </w:sdtEndPr>
    <w:sdtContent>
      <w:p>
        <w:pPr>
          <w:pStyle w:val="33"/>
          <w:jc w:val="center"/>
          <w:rPr>
            <w:sz w:val="24"/>
          </w:rPr>
        </w:pPr>
        <w:r>
          <w:rPr>
            <w:sz w:val="24"/>
          </w:rPr>
          <w:fldChar w:fldCharType="begin"/>
        </w:r>
        <w:r>
          <w:rPr>
            <w:sz w:val="24"/>
          </w:rPr>
          <w:instrText xml:space="preserve">PAGE   \* MERGEFORMAT</w:instrText>
        </w:r>
        <w:r>
          <w:rPr>
            <w:sz w:val="24"/>
          </w:rPr>
          <w:fldChar w:fldCharType="separate"/>
        </w:r>
        <w:r>
          <w:rPr>
            <w:sz w:val="24"/>
            <w:lang w:val="zh-CN"/>
          </w:rPr>
          <w:t>25</w:t>
        </w:r>
        <w:r>
          <w:rPr>
            <w:sz w:val="24"/>
          </w:rPr>
          <w:fldChar w:fldCharType="end"/>
        </w:r>
      </w:p>
    </w:sdtContent>
  </w:sdt>
  <w:p>
    <w:pPr>
      <w:pStyle w:val="33"/>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jc w:val="center"/>
      <w:rPr>
        <w:sz w:val="24"/>
        <w:szCs w:val="24"/>
      </w:rPr>
    </w:pPr>
    <w:r>
      <w:rPr>
        <w:sz w:val="24"/>
        <w:szCs w:val="24"/>
      </w:rPr>
      <w:fldChar w:fldCharType="begin"/>
    </w:r>
    <w:r>
      <w:rPr>
        <w:rStyle w:val="56"/>
        <w:sz w:val="24"/>
        <w:szCs w:val="24"/>
      </w:rPr>
      <w:instrText xml:space="preserve"> PAGE </w:instrText>
    </w:r>
    <w:r>
      <w:rPr>
        <w:sz w:val="24"/>
        <w:szCs w:val="24"/>
      </w:rPr>
      <w:fldChar w:fldCharType="separate"/>
    </w:r>
    <w:r>
      <w:rPr>
        <w:rStyle w:val="56"/>
        <w:sz w:val="24"/>
        <w:szCs w:val="24"/>
      </w:rPr>
      <w:t>48</w:t>
    </w:r>
    <w:r>
      <w:rPr>
        <w:sz w:val="24"/>
        <w:szCs w:val="24"/>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pBdr>
        <w:bottom w:val="single" w:color="auto" w:sz="6" w:space="0"/>
      </w:pBdr>
      <w:spacing w:line="240" w:lineRule="auto"/>
      <w:jc w:val="right"/>
      <w:rPr>
        <w:sz w:val="21"/>
        <w:szCs w:val="21"/>
      </w:rPr>
    </w:pPr>
    <w:r>
      <w:rPr>
        <w:rFonts w:hint="eastAsia"/>
        <w:sz w:val="21"/>
        <w:szCs w:val="21"/>
      </w:rPr>
      <w:t>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tbl>
    <w:tblPr>
      <w:tblStyle w:val="52"/>
      <w:tblW w:w="379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46"/>
      <w:gridCol w:w="295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 w:hRule="atLeast"/>
      </w:trPr>
      <w:tc>
        <w:tcPr>
          <w:tcW w:w="682" w:type="dxa"/>
          <w:vMerge w:val="restart"/>
        </w:tcPr>
        <w:p>
          <w:pPr>
            <w:pStyle w:val="34"/>
            <w:pBdr>
              <w:bottom w:val="none" w:color="auto" w:sz="0" w:space="0"/>
            </w:pBdr>
            <w:jc w:val="both"/>
          </w:pPr>
          <w:r>
            <w:rPr>
              <w:rFonts w:ascii="Arial" w:hAnsi="Arial" w:cs="Arial"/>
              <w:color w:val="338DE6"/>
            </w:rPr>
            <w:drawing>
              <wp:inline distT="0" distB="0" distL="0" distR="0">
                <wp:extent cx="400050" cy="400050"/>
                <wp:effectExtent l="0" t="0" r="0" b="0"/>
                <wp:docPr id="7" name="图片 7" descr="https://gss2.bdstatic.com/-fo3dSag_xI4khGkpoWK1HF6hhy/baike/w%3D268%3Bg%3D0/sign=7b98fe7e8ccb39dbc1c06050e82d6e19/342ac65c103853435dae1db59e13b07ecb8088c5.jpg">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https://gss2.bdstatic.com/-fo3dSag_xI4khGkpoWK1HF6hhy/baike/w%3D268%3Bg%3D0/sign=7b98fe7e8ccb39dbc1c06050e82d6e19/342ac65c103853435dae1db59e13b07ecb8088c5.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a:xfrm>
                          <a:off x="0" y="0"/>
                          <a:ext cx="397632" cy="397632"/>
                        </a:xfrm>
                        <a:prstGeom prst="rect">
                          <a:avLst/>
                        </a:prstGeom>
                        <a:noFill/>
                        <a:ln>
                          <a:noFill/>
                        </a:ln>
                      </pic:spPr>
                    </pic:pic>
                  </a:graphicData>
                </a:graphic>
              </wp:inline>
            </w:drawing>
          </w:r>
        </w:p>
      </w:tc>
      <w:tc>
        <w:tcPr>
          <w:tcW w:w="3117" w:type="dxa"/>
        </w:tcPr>
        <w:p>
          <w:pPr>
            <w:pStyle w:val="34"/>
            <w:pBdr>
              <w:bottom w:val="none" w:color="auto" w:sz="0" w:space="0"/>
            </w:pBdr>
            <w:spacing w:line="240" w:lineRule="auto"/>
            <w:jc w:val="both"/>
            <w:rPr>
              <w:rFonts w:ascii="Heiti SC Medium" w:hAnsi="Heiti SC Medium" w:eastAsia="Heiti SC Medium"/>
              <w:sz w:val="10"/>
            </w:rPr>
          </w:pPr>
          <w:r>
            <w:rPr>
              <w:rFonts w:hint="eastAsia" w:ascii="Heiti SC Medium" w:hAnsi="Heiti SC Medium" w:eastAsia="Heiti SC Medium"/>
              <w:sz w:val="13"/>
            </w:rPr>
            <w:t>江苏食品药品职业技术学院招标办公室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 w:hRule="atLeast"/>
      </w:trPr>
      <w:tc>
        <w:tcPr>
          <w:tcW w:w="682" w:type="dxa"/>
          <w:vMerge w:val="continue"/>
        </w:tcPr>
        <w:p>
          <w:pPr>
            <w:pStyle w:val="34"/>
            <w:pBdr>
              <w:bottom w:val="none" w:color="auto" w:sz="0" w:space="0"/>
            </w:pBdr>
            <w:jc w:val="both"/>
          </w:pPr>
        </w:p>
      </w:tc>
      <w:tc>
        <w:tcPr>
          <w:tcW w:w="3117" w:type="dxa"/>
        </w:tcPr>
        <w:p>
          <w:pPr>
            <w:pStyle w:val="34"/>
            <w:pBdr>
              <w:bottom w:val="none" w:color="auto" w:sz="0" w:space="0"/>
            </w:pBdr>
            <w:spacing w:line="240" w:lineRule="auto"/>
            <w:jc w:val="both"/>
            <w:rPr>
              <w:rFonts w:ascii="Heiti SC Medium" w:hAnsi="Heiti SC Medium" w:eastAsia="Heiti SC Medium"/>
              <w:sz w:val="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 w:hRule="atLeast"/>
      </w:trPr>
      <w:tc>
        <w:tcPr>
          <w:tcW w:w="682" w:type="dxa"/>
          <w:vMerge w:val="continue"/>
        </w:tcPr>
        <w:p>
          <w:pPr>
            <w:pStyle w:val="34"/>
            <w:pBdr>
              <w:bottom w:val="none" w:color="auto" w:sz="0" w:space="0"/>
            </w:pBdr>
            <w:jc w:val="both"/>
          </w:pPr>
        </w:p>
      </w:tc>
      <w:tc>
        <w:tcPr>
          <w:tcW w:w="3117" w:type="dxa"/>
        </w:tcPr>
        <w:p>
          <w:pPr>
            <w:pStyle w:val="34"/>
            <w:pBdr>
              <w:bottom w:val="none" w:color="auto" w:sz="0" w:space="0"/>
            </w:pBdr>
            <w:ind w:left="-30" w:leftChars="-104" w:hanging="220" w:hangingChars="220"/>
            <w:jc w:val="both"/>
            <w:rPr>
              <w:rFonts w:ascii="Apple Symbols" w:hAnsi="Apple Symbols" w:cs="Apple Symbols"/>
              <w:sz w:val="10"/>
            </w:rPr>
          </w:pPr>
          <w:r>
            <w:rPr>
              <w:rFonts w:ascii="Apple Symbols" w:hAnsi="Apple Symbols" w:cs="Apple Symbols"/>
              <w:sz w:val="10"/>
            </w:rPr>
            <w:drawing>
              <wp:inline distT="0" distB="0" distL="0" distR="0">
                <wp:extent cx="1789430" cy="61595"/>
                <wp:effectExtent l="0" t="0" r="1270" b="0"/>
                <wp:docPr id="6" name="图片 6"/>
                <wp:cNvGraphicFramePr/>
                <a:graphic xmlns:a="http://schemas.openxmlformats.org/drawingml/2006/main">
                  <a:graphicData uri="http://schemas.openxmlformats.org/drawingml/2006/picture">
                    <pic:pic xmlns:pic="http://schemas.openxmlformats.org/drawingml/2006/picture">
                      <pic:nvPicPr>
                        <pic:cNvPr id="6" name="图片 6"/>
                        <pic:cNvPicPr/>
                      </pic:nvPicPr>
                      <pic:blipFill>
                        <a:blip r:embed="rId3">
                          <a:extLst>
                            <a:ext uri="{28A0092B-C50C-407E-A947-70E740481C1C}">
                              <a14:useLocalDpi xmlns:a14="http://schemas.microsoft.com/office/drawing/2010/main" val="0"/>
                            </a:ext>
                          </a:extLst>
                        </a:blip>
                        <a:stretch>
                          <a:fillRect/>
                        </a:stretch>
                      </pic:blipFill>
                      <pic:spPr>
                        <a:xfrm>
                          <a:off x="0" y="0"/>
                          <a:ext cx="1914014" cy="65999"/>
                        </a:xfrm>
                        <a:prstGeom prst="rect">
                          <a:avLst/>
                        </a:prstGeom>
                      </pic:spPr>
                    </pic:pic>
                  </a:graphicData>
                </a:graphic>
              </wp:inline>
            </w:drawing>
          </w:r>
        </w:p>
      </w:tc>
    </w:tr>
  </w:tbl>
  <w:p>
    <w:pPr>
      <w:pStyle w:val="34"/>
      <w:pBdr>
        <w:bottom w:val="single" w:color="auto" w:sz="6" w:space="0"/>
      </w:pBdr>
      <w:jc w:val="lef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spacing w:line="240" w:lineRule="auto"/>
      <w:ind w:right="62"/>
      <w:jc w:val="right"/>
      <w:rPr>
        <w:sz w:val="21"/>
        <w:szCs w:val="21"/>
      </w:rPr>
    </w:pPr>
    <w:r>
      <w:rPr>
        <w:rFonts w:hint="eastAsia"/>
        <w:sz w:val="21"/>
        <w:szCs w:val="21"/>
      </w:rPr>
      <w:t>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pBdr>
        <w:bottom w:val="single" w:color="auto" w:sz="6" w:space="0"/>
      </w:pBdr>
      <w:spacing w:line="240" w:lineRule="auto"/>
      <w:jc w:val="right"/>
      <w:rPr>
        <w:sz w:val="21"/>
        <w:szCs w:val="21"/>
      </w:rPr>
    </w:pPr>
    <w:r>
      <w:rPr>
        <w:rFonts w:hint="eastAsia"/>
        <w:sz w:val="21"/>
        <w:szCs w:val="21"/>
      </w:rPr>
      <w:t>竞争性磋商文件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tbl>
    <w:tblPr>
      <w:tblStyle w:val="52"/>
      <w:tblW w:w="379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46"/>
      <w:gridCol w:w="295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 w:hRule="atLeast"/>
      </w:trPr>
      <w:tc>
        <w:tcPr>
          <w:tcW w:w="682" w:type="dxa"/>
          <w:vMerge w:val="restart"/>
        </w:tcPr>
        <w:p>
          <w:pPr>
            <w:pStyle w:val="34"/>
            <w:pBdr>
              <w:bottom w:val="none" w:color="auto" w:sz="0" w:space="0"/>
            </w:pBdr>
            <w:jc w:val="both"/>
          </w:pPr>
          <w:r>
            <w:rPr>
              <w:rFonts w:ascii="Arial" w:hAnsi="Arial" w:cs="Arial"/>
              <w:color w:val="338DE6"/>
            </w:rPr>
            <w:drawing>
              <wp:inline distT="0" distB="0" distL="0" distR="0">
                <wp:extent cx="400050" cy="400050"/>
                <wp:effectExtent l="0" t="0" r="0" b="0"/>
                <wp:docPr id="1" name="图片 7" descr="https://gss2.bdstatic.com/-fo3dSag_xI4khGkpoWK1HF6hhy/baike/w%3D268%3Bg%3D0/sign=7b98fe7e8ccb39dbc1c06050e82d6e19/342ac65c103853435dae1db59e13b07ecb8088c5.jpg">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7" descr="https://gss2.bdstatic.com/-fo3dSag_xI4khGkpoWK1HF6hhy/baike/w%3D268%3Bg%3D0/sign=7b98fe7e8ccb39dbc1c06050e82d6e19/342ac65c103853435dae1db59e13b07ecb8088c5.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a:xfrm>
                          <a:off x="0" y="0"/>
                          <a:ext cx="397632" cy="397632"/>
                        </a:xfrm>
                        <a:prstGeom prst="rect">
                          <a:avLst/>
                        </a:prstGeom>
                        <a:noFill/>
                        <a:ln>
                          <a:noFill/>
                        </a:ln>
                      </pic:spPr>
                    </pic:pic>
                  </a:graphicData>
                </a:graphic>
              </wp:inline>
            </w:drawing>
          </w:r>
        </w:p>
      </w:tc>
      <w:tc>
        <w:tcPr>
          <w:tcW w:w="3117" w:type="dxa"/>
        </w:tcPr>
        <w:p>
          <w:pPr>
            <w:pStyle w:val="34"/>
            <w:pBdr>
              <w:bottom w:val="none" w:color="auto" w:sz="0" w:space="0"/>
            </w:pBdr>
            <w:spacing w:line="240" w:lineRule="auto"/>
            <w:jc w:val="both"/>
            <w:rPr>
              <w:rFonts w:ascii="Heiti SC Medium" w:hAnsi="Heiti SC Medium" w:eastAsia="Heiti SC Medium"/>
              <w:sz w:val="10"/>
            </w:rPr>
          </w:pPr>
          <w:r>
            <w:rPr>
              <w:rFonts w:hint="eastAsia" w:ascii="Heiti SC Medium" w:hAnsi="Heiti SC Medium" w:eastAsia="Heiti SC Medium"/>
              <w:sz w:val="13"/>
            </w:rPr>
            <w:t>江苏食品药品职业技术学院招标办公室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 w:hRule="atLeast"/>
      </w:trPr>
      <w:tc>
        <w:tcPr>
          <w:tcW w:w="682" w:type="dxa"/>
          <w:vMerge w:val="continue"/>
        </w:tcPr>
        <w:p>
          <w:pPr>
            <w:pStyle w:val="34"/>
            <w:pBdr>
              <w:bottom w:val="none" w:color="auto" w:sz="0" w:space="0"/>
            </w:pBdr>
            <w:jc w:val="both"/>
          </w:pPr>
        </w:p>
      </w:tc>
      <w:tc>
        <w:tcPr>
          <w:tcW w:w="3117" w:type="dxa"/>
        </w:tcPr>
        <w:p>
          <w:pPr>
            <w:pStyle w:val="34"/>
            <w:pBdr>
              <w:bottom w:val="none" w:color="auto" w:sz="0" w:space="0"/>
            </w:pBdr>
            <w:spacing w:line="240" w:lineRule="auto"/>
            <w:jc w:val="both"/>
            <w:rPr>
              <w:rFonts w:ascii="Heiti SC Medium" w:hAnsi="Heiti SC Medium" w:eastAsia="Heiti SC Medium"/>
              <w:sz w:val="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 w:hRule="atLeast"/>
      </w:trPr>
      <w:tc>
        <w:tcPr>
          <w:tcW w:w="682" w:type="dxa"/>
          <w:vMerge w:val="continue"/>
        </w:tcPr>
        <w:p>
          <w:pPr>
            <w:pStyle w:val="34"/>
            <w:pBdr>
              <w:bottom w:val="none" w:color="auto" w:sz="0" w:space="0"/>
            </w:pBdr>
            <w:jc w:val="both"/>
          </w:pPr>
        </w:p>
      </w:tc>
      <w:tc>
        <w:tcPr>
          <w:tcW w:w="3117" w:type="dxa"/>
        </w:tcPr>
        <w:p>
          <w:pPr>
            <w:pStyle w:val="34"/>
            <w:pBdr>
              <w:bottom w:val="none" w:color="auto" w:sz="0" w:space="0"/>
            </w:pBdr>
            <w:ind w:left="-30" w:leftChars="-104" w:hanging="220" w:hangingChars="220"/>
            <w:jc w:val="both"/>
            <w:rPr>
              <w:rFonts w:ascii="Apple Symbols" w:hAnsi="Apple Symbols" w:cs="Apple Symbols"/>
              <w:sz w:val="10"/>
            </w:rPr>
          </w:pPr>
          <w:r>
            <w:rPr>
              <w:rFonts w:ascii="Apple Symbols" w:hAnsi="Apple Symbols" w:cs="Apple Symbols"/>
              <w:sz w:val="10"/>
            </w:rPr>
            <w:drawing>
              <wp:inline distT="0" distB="0" distL="0" distR="0">
                <wp:extent cx="1789430" cy="61595"/>
                <wp:effectExtent l="0" t="0" r="1270" b="0"/>
                <wp:docPr id="2" name="图片 6"/>
                <wp:cNvGraphicFramePr/>
                <a:graphic xmlns:a="http://schemas.openxmlformats.org/drawingml/2006/main">
                  <a:graphicData uri="http://schemas.openxmlformats.org/drawingml/2006/picture">
                    <pic:pic xmlns:pic="http://schemas.openxmlformats.org/drawingml/2006/picture">
                      <pic:nvPicPr>
                        <pic:cNvPr id="2" name="图片 6"/>
                        <pic:cNvPicPr/>
                      </pic:nvPicPr>
                      <pic:blipFill>
                        <a:blip r:embed="rId3">
                          <a:extLst>
                            <a:ext uri="{28A0092B-C50C-407E-A947-70E740481C1C}">
                              <a14:useLocalDpi xmlns:a14="http://schemas.microsoft.com/office/drawing/2010/main" val="0"/>
                            </a:ext>
                          </a:extLst>
                        </a:blip>
                        <a:stretch>
                          <a:fillRect/>
                        </a:stretch>
                      </pic:blipFill>
                      <pic:spPr>
                        <a:xfrm>
                          <a:off x="0" y="0"/>
                          <a:ext cx="1914014" cy="65999"/>
                        </a:xfrm>
                        <a:prstGeom prst="rect">
                          <a:avLst/>
                        </a:prstGeom>
                      </pic:spPr>
                    </pic:pic>
                  </a:graphicData>
                </a:graphic>
              </wp:inline>
            </w:drawing>
          </w:r>
        </w:p>
      </w:tc>
    </w:tr>
  </w:tbl>
  <w:p>
    <w:pPr>
      <w:pStyle w:val="34"/>
      <w:pBdr>
        <w:bottom w:val="single" w:color="auto" w:sz="6" w:space="0"/>
      </w:pBdr>
      <w:jc w:val="left"/>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spacing w:line="240" w:lineRule="auto"/>
      <w:jc w:val="right"/>
      <w:rPr>
        <w:sz w:val="21"/>
        <w:szCs w:val="21"/>
      </w:rPr>
    </w:pPr>
    <w:r>
      <w:rPr>
        <w:rFonts w:hint="eastAsia"/>
        <w:sz w:val="21"/>
        <w:szCs w:val="21"/>
      </w:rPr>
      <w:t>竞争性磋商文件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spacing w:line="240" w:lineRule="auto"/>
      <w:jc w:val="right"/>
      <w:rPr>
        <w:sz w:val="21"/>
        <w:szCs w:val="21"/>
      </w:rPr>
    </w:pPr>
    <w:r>
      <w:rPr>
        <w:sz w:val="21"/>
        <w:szCs w:val="21"/>
      </w:rPr>
      <w:t>竞争性磋商文件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spacing w:line="240" w:lineRule="auto"/>
      <w:jc w:val="right"/>
      <w:rPr>
        <w:sz w:val="21"/>
        <w:szCs w:val="21"/>
      </w:rPr>
    </w:pPr>
    <w:r>
      <w:rPr>
        <w:rFonts w:hint="eastAsia"/>
        <w:sz w:val="21"/>
        <w:szCs w:val="21"/>
      </w:rPr>
      <w:t>竞争性磋商文件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spacing w:line="240" w:lineRule="auto"/>
      <w:jc w:val="right"/>
      <w:rPr>
        <w:sz w:val="21"/>
        <w:szCs w:val="21"/>
      </w:rPr>
    </w:pPr>
    <w:r>
      <w:rPr>
        <w:rFonts w:hint="eastAsia"/>
        <w:sz w:val="21"/>
        <w:szCs w:val="21"/>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8EA2C31"/>
    <w:multiLevelType w:val="singleLevel"/>
    <w:tmpl w:val="98EA2C31"/>
    <w:lvl w:ilvl="0" w:tentative="0">
      <w:start w:val="3"/>
      <w:numFmt w:val="decimal"/>
      <w:suff w:val="nothing"/>
      <w:lvlText w:val="%1、"/>
      <w:lvlJc w:val="left"/>
    </w:lvl>
  </w:abstractNum>
  <w:abstractNum w:abstractNumId="1">
    <w:nsid w:val="00000009"/>
    <w:multiLevelType w:val="multilevel"/>
    <w:tmpl w:val="00000009"/>
    <w:lvl w:ilvl="0" w:tentative="0">
      <w:start w:val="1"/>
      <w:numFmt w:val="decimal"/>
      <w:pStyle w:val="130"/>
      <w:lvlText w:val="%1）"/>
      <w:lvlJc w:val="left"/>
      <w:pPr>
        <w:tabs>
          <w:tab w:val="left" w:pos="840"/>
        </w:tabs>
        <w:ind w:left="840" w:hanging="360"/>
      </w:pPr>
      <w:rPr>
        <w:rFonts w:hint="eastAsia"/>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2">
    <w:nsid w:val="0000000A"/>
    <w:multiLevelType w:val="multilevel"/>
    <w:tmpl w:val="0000000A"/>
    <w:lvl w:ilvl="0" w:tentative="0">
      <w:start w:val="1"/>
      <w:numFmt w:val="bullet"/>
      <w:pStyle w:val="50"/>
      <w:lvlText w:val=""/>
      <w:lvlJc w:val="left"/>
      <w:pPr>
        <w:tabs>
          <w:tab w:val="left" w:pos="360"/>
        </w:tabs>
        <w:ind w:left="0" w:firstLine="0"/>
      </w:pPr>
      <w:rPr>
        <w:rFonts w:hint="default" w:ascii="Symbol" w:hAnsi="Symbol"/>
        <w:sz w:val="20"/>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3">
    <w:nsid w:val="0000000B"/>
    <w:multiLevelType w:val="multilevel"/>
    <w:tmpl w:val="0000000B"/>
    <w:lvl w:ilvl="0" w:tentative="0">
      <w:start w:val="1"/>
      <w:numFmt w:val="decimal"/>
      <w:pStyle w:val="108"/>
      <w:lvlText w:val="%1、"/>
      <w:lvlJc w:val="left"/>
      <w:pPr>
        <w:tabs>
          <w:tab w:val="left" w:pos="360"/>
        </w:tabs>
        <w:ind w:left="36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000000D"/>
    <w:multiLevelType w:val="multilevel"/>
    <w:tmpl w:val="0000000D"/>
    <w:lvl w:ilvl="0" w:tentative="0">
      <w:start w:val="1"/>
      <w:numFmt w:val="decimal"/>
      <w:lvlText w:val="%1."/>
      <w:lvlJc w:val="left"/>
      <w:pPr>
        <w:tabs>
          <w:tab w:val="left" w:pos="560"/>
        </w:tabs>
        <w:ind w:left="900" w:hanging="340"/>
      </w:pPr>
      <w:rPr>
        <w:rFonts w:hint="eastAsia" w:cs="Times New Roman"/>
      </w:rPr>
    </w:lvl>
    <w:lvl w:ilvl="1" w:tentative="0">
      <w:start w:val="1"/>
      <w:numFmt w:val="decimal"/>
      <w:lvlText w:val="%2."/>
      <w:lvlJc w:val="left"/>
      <w:pPr>
        <w:tabs>
          <w:tab w:val="left" w:pos="420"/>
        </w:tabs>
        <w:ind w:left="760" w:hanging="340"/>
      </w:pPr>
      <w:rPr>
        <w:rFonts w:hint="eastAsia"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5">
    <w:nsid w:val="0000000E"/>
    <w:multiLevelType w:val="multilevel"/>
    <w:tmpl w:val="0000000E"/>
    <w:lvl w:ilvl="0" w:tentative="0">
      <w:start w:val="1"/>
      <w:numFmt w:val="none"/>
      <w:pStyle w:val="2"/>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4"/>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7"/>
      <w:lvlText w:val="           "/>
      <w:lvlJc w:val="left"/>
      <w:pPr>
        <w:tabs>
          <w:tab w:val="left" w:pos="1440"/>
        </w:tabs>
        <w:ind w:left="1152" w:hanging="1152"/>
      </w:pPr>
      <w:rPr>
        <w:rFonts w:hint="eastAsia"/>
      </w:rPr>
    </w:lvl>
    <w:lvl w:ilvl="6" w:tentative="0">
      <w:start w:val="1"/>
      <w:numFmt w:val="decimal"/>
      <w:pStyle w:val="8"/>
      <w:lvlText w:val="%1.%2.%3.%4.%5.%6.%7"/>
      <w:lvlJc w:val="left"/>
      <w:pPr>
        <w:tabs>
          <w:tab w:val="left" w:pos="2520"/>
        </w:tabs>
        <w:ind w:left="1296" w:hanging="1296"/>
      </w:pPr>
      <w:rPr>
        <w:rFonts w:hint="eastAsia"/>
      </w:rPr>
    </w:lvl>
    <w:lvl w:ilvl="7" w:tentative="0">
      <w:start w:val="1"/>
      <w:numFmt w:val="decimal"/>
      <w:pStyle w:val="9"/>
      <w:lvlText w:val="%1.%2.%3.%4.%5.%6.%7.%8"/>
      <w:lvlJc w:val="left"/>
      <w:pPr>
        <w:tabs>
          <w:tab w:val="left" w:pos="1440"/>
        </w:tabs>
        <w:ind w:left="1440" w:hanging="1440"/>
      </w:pPr>
      <w:rPr>
        <w:rFonts w:hint="eastAsia"/>
      </w:rPr>
    </w:lvl>
    <w:lvl w:ilvl="8" w:tentative="0">
      <w:start w:val="1"/>
      <w:numFmt w:val="decimal"/>
      <w:pStyle w:val="10"/>
      <w:lvlText w:val="%1.%2.%3.%4.%5.%6.%7.%8.%9"/>
      <w:lvlJc w:val="left"/>
      <w:pPr>
        <w:tabs>
          <w:tab w:val="left" w:pos="1584"/>
        </w:tabs>
        <w:ind w:left="1584" w:hanging="1584"/>
      </w:pPr>
      <w:rPr>
        <w:rFonts w:hint="eastAsia"/>
      </w:rPr>
    </w:lvl>
  </w:abstractNum>
  <w:abstractNum w:abstractNumId="6">
    <w:nsid w:val="0000000F"/>
    <w:multiLevelType w:val="multilevel"/>
    <w:tmpl w:val="0000000F"/>
    <w:lvl w:ilvl="0" w:tentative="0">
      <w:start w:val="1"/>
      <w:numFmt w:val="chineseCountingThousand"/>
      <w:lvlText w:val="(%1)"/>
      <w:lvlJc w:val="left"/>
      <w:pPr>
        <w:tabs>
          <w:tab w:val="left" w:pos="840"/>
        </w:tabs>
        <w:ind w:left="1180" w:hanging="340"/>
      </w:pPr>
      <w:rPr>
        <w:rFonts w:hint="eastAsia"/>
      </w:rPr>
    </w:lvl>
    <w:lvl w:ilvl="1" w:tentative="0">
      <w:start w:val="1"/>
      <w:numFmt w:val="decimal"/>
      <w:lvlText w:val="%2)"/>
      <w:lvlJc w:val="left"/>
      <w:pPr>
        <w:tabs>
          <w:tab w:val="left" w:pos="1680"/>
        </w:tabs>
        <w:ind w:left="1680" w:hanging="420"/>
      </w:pPr>
      <w:rPr>
        <w:rFonts w:hint="eastAsia" w:cs="Times New Roman"/>
      </w:rPr>
    </w:lvl>
    <w:lvl w:ilvl="2" w:tentative="0">
      <w:start w:val="1"/>
      <w:numFmt w:val="decimal"/>
      <w:lvlText w:val="%3）"/>
      <w:lvlJc w:val="left"/>
      <w:pPr>
        <w:tabs>
          <w:tab w:val="left" w:pos="2520"/>
        </w:tabs>
        <w:ind w:left="2520" w:hanging="840"/>
      </w:pPr>
      <w:rPr>
        <w:rFonts w:hint="default" w:cs="Times New Roman"/>
      </w:rPr>
    </w:lvl>
    <w:lvl w:ilvl="3" w:tentative="0">
      <w:start w:val="1"/>
      <w:numFmt w:val="decimal"/>
      <w:lvlText w:val="%4."/>
      <w:lvlJc w:val="left"/>
      <w:pPr>
        <w:tabs>
          <w:tab w:val="left" w:pos="2520"/>
        </w:tabs>
        <w:ind w:left="2520" w:hanging="420"/>
      </w:pPr>
      <w:rPr>
        <w:rFonts w:cs="Times New Roman"/>
      </w:rPr>
    </w:lvl>
    <w:lvl w:ilvl="4" w:tentative="0">
      <w:start w:val="1"/>
      <w:numFmt w:val="lowerLetter"/>
      <w:lvlText w:val="%5)"/>
      <w:lvlJc w:val="left"/>
      <w:pPr>
        <w:tabs>
          <w:tab w:val="left" w:pos="2940"/>
        </w:tabs>
        <w:ind w:left="2940" w:hanging="420"/>
      </w:pPr>
      <w:rPr>
        <w:rFonts w:cs="Times New Roman"/>
      </w:rPr>
    </w:lvl>
    <w:lvl w:ilvl="5" w:tentative="0">
      <w:start w:val="1"/>
      <w:numFmt w:val="lowerRoman"/>
      <w:lvlText w:val="%6."/>
      <w:lvlJc w:val="right"/>
      <w:pPr>
        <w:tabs>
          <w:tab w:val="left" w:pos="3360"/>
        </w:tabs>
        <w:ind w:left="3360" w:hanging="420"/>
      </w:pPr>
      <w:rPr>
        <w:rFonts w:cs="Times New Roman"/>
      </w:rPr>
    </w:lvl>
    <w:lvl w:ilvl="6" w:tentative="0">
      <w:start w:val="1"/>
      <w:numFmt w:val="decimal"/>
      <w:lvlText w:val="%7."/>
      <w:lvlJc w:val="left"/>
      <w:pPr>
        <w:tabs>
          <w:tab w:val="left" w:pos="3780"/>
        </w:tabs>
        <w:ind w:left="3780" w:hanging="420"/>
      </w:pPr>
      <w:rPr>
        <w:rFonts w:cs="Times New Roman"/>
      </w:rPr>
    </w:lvl>
    <w:lvl w:ilvl="7" w:tentative="0">
      <w:start w:val="1"/>
      <w:numFmt w:val="lowerLetter"/>
      <w:lvlText w:val="%8)"/>
      <w:lvlJc w:val="left"/>
      <w:pPr>
        <w:tabs>
          <w:tab w:val="left" w:pos="4200"/>
        </w:tabs>
        <w:ind w:left="4200" w:hanging="420"/>
      </w:pPr>
      <w:rPr>
        <w:rFonts w:cs="Times New Roman"/>
      </w:rPr>
    </w:lvl>
    <w:lvl w:ilvl="8" w:tentative="0">
      <w:start w:val="1"/>
      <w:numFmt w:val="lowerRoman"/>
      <w:lvlText w:val="%9."/>
      <w:lvlJc w:val="right"/>
      <w:pPr>
        <w:tabs>
          <w:tab w:val="left" w:pos="4620"/>
        </w:tabs>
        <w:ind w:left="4620" w:hanging="420"/>
      </w:pPr>
      <w:rPr>
        <w:rFonts w:cs="Times New Roman"/>
      </w:rPr>
    </w:lvl>
  </w:abstractNum>
  <w:abstractNum w:abstractNumId="7">
    <w:nsid w:val="0000001E"/>
    <w:multiLevelType w:val="multilevel"/>
    <w:tmpl w:val="0000001E"/>
    <w:lvl w:ilvl="0" w:tentative="0">
      <w:start w:val="0"/>
      <w:numFmt w:val="decimal"/>
      <w:lvlText w:val=""/>
      <w:lvlJc w:val="left"/>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8">
    <w:nsid w:val="423C354E"/>
    <w:multiLevelType w:val="multilevel"/>
    <w:tmpl w:val="423C354E"/>
    <w:lvl w:ilvl="0" w:tentative="0">
      <w:start w:val="1"/>
      <w:numFmt w:val="decimal"/>
      <w:lvlText w:val="%1."/>
      <w:lvlJc w:val="left"/>
      <w:pPr>
        <w:tabs>
          <w:tab w:val="left" w:pos="420"/>
        </w:tabs>
        <w:ind w:left="420" w:hanging="420"/>
      </w:pPr>
    </w:lvl>
    <w:lvl w:ilvl="1" w:tentative="0">
      <w:start w:val="1"/>
      <w:numFmt w:val="bullet"/>
      <w:pStyle w:val="15"/>
      <w:lvlText w:val=""/>
      <w:lvlJc w:val="left"/>
      <w:pPr>
        <w:tabs>
          <w:tab w:val="left" w:pos="840"/>
        </w:tabs>
        <w:ind w:left="840" w:hanging="420"/>
      </w:pPr>
      <w:rPr>
        <w:rFonts w:hint="default" w:ascii="Wingdings" w:hAnsi="Wingdings"/>
      </w:rPr>
    </w:lvl>
    <w:lvl w:ilvl="2" w:tentative="0">
      <w:start w:val="1"/>
      <w:numFmt w:val="decimal"/>
      <w:lvlText w:val="%3."/>
      <w:lvlJc w:val="lef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5"/>
  </w:num>
  <w:num w:numId="2">
    <w:abstractNumId w:val="8"/>
  </w:num>
  <w:num w:numId="3">
    <w:abstractNumId w:val="2"/>
  </w:num>
  <w:num w:numId="4">
    <w:abstractNumId w:val="3"/>
  </w:num>
  <w:num w:numId="5">
    <w:abstractNumId w:val="1"/>
  </w:num>
  <w:num w:numId="6">
    <w:abstractNumId w:val="0"/>
  </w:num>
  <w:num w:numId="7">
    <w:abstractNumId w:val="7"/>
  </w:num>
  <w:num w:numId="8">
    <w:abstractNumId w:val="6"/>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027B"/>
    <w:rsid w:val="000011FE"/>
    <w:rsid w:val="0000197E"/>
    <w:rsid w:val="00001BEF"/>
    <w:rsid w:val="000029DE"/>
    <w:rsid w:val="00003BAB"/>
    <w:rsid w:val="00003F4C"/>
    <w:rsid w:val="0000435B"/>
    <w:rsid w:val="0000447A"/>
    <w:rsid w:val="0000447E"/>
    <w:rsid w:val="000048C1"/>
    <w:rsid w:val="00004EF9"/>
    <w:rsid w:val="0000566B"/>
    <w:rsid w:val="00006EEF"/>
    <w:rsid w:val="00006F89"/>
    <w:rsid w:val="00007137"/>
    <w:rsid w:val="000072E7"/>
    <w:rsid w:val="00007988"/>
    <w:rsid w:val="000108AE"/>
    <w:rsid w:val="00011D6E"/>
    <w:rsid w:val="00014E76"/>
    <w:rsid w:val="000161A8"/>
    <w:rsid w:val="000206A8"/>
    <w:rsid w:val="00022EA9"/>
    <w:rsid w:val="00023439"/>
    <w:rsid w:val="00023622"/>
    <w:rsid w:val="000236A0"/>
    <w:rsid w:val="000256E1"/>
    <w:rsid w:val="000258F9"/>
    <w:rsid w:val="000277ED"/>
    <w:rsid w:val="00027976"/>
    <w:rsid w:val="000303B5"/>
    <w:rsid w:val="00032E66"/>
    <w:rsid w:val="00034286"/>
    <w:rsid w:val="00034C21"/>
    <w:rsid w:val="00036D0E"/>
    <w:rsid w:val="0003700C"/>
    <w:rsid w:val="00037CDD"/>
    <w:rsid w:val="0004130D"/>
    <w:rsid w:val="00042ABA"/>
    <w:rsid w:val="00043D57"/>
    <w:rsid w:val="00044469"/>
    <w:rsid w:val="0004575E"/>
    <w:rsid w:val="00045EDE"/>
    <w:rsid w:val="0004663D"/>
    <w:rsid w:val="00047B33"/>
    <w:rsid w:val="00051C54"/>
    <w:rsid w:val="00052124"/>
    <w:rsid w:val="00053BFD"/>
    <w:rsid w:val="00054BFE"/>
    <w:rsid w:val="000550AC"/>
    <w:rsid w:val="00057200"/>
    <w:rsid w:val="00060285"/>
    <w:rsid w:val="00060CF9"/>
    <w:rsid w:val="00062207"/>
    <w:rsid w:val="00062F04"/>
    <w:rsid w:val="00066353"/>
    <w:rsid w:val="00067810"/>
    <w:rsid w:val="00071459"/>
    <w:rsid w:val="00072E56"/>
    <w:rsid w:val="000771AD"/>
    <w:rsid w:val="0007789A"/>
    <w:rsid w:val="00082C11"/>
    <w:rsid w:val="00091276"/>
    <w:rsid w:val="00092873"/>
    <w:rsid w:val="00094A1D"/>
    <w:rsid w:val="000A25EE"/>
    <w:rsid w:val="000A2D90"/>
    <w:rsid w:val="000A2DC1"/>
    <w:rsid w:val="000A42A7"/>
    <w:rsid w:val="000A7BD1"/>
    <w:rsid w:val="000B4B50"/>
    <w:rsid w:val="000B68E7"/>
    <w:rsid w:val="000C1B26"/>
    <w:rsid w:val="000C2491"/>
    <w:rsid w:val="000C4884"/>
    <w:rsid w:val="000C5166"/>
    <w:rsid w:val="000D09B0"/>
    <w:rsid w:val="000D10B3"/>
    <w:rsid w:val="000D2E8E"/>
    <w:rsid w:val="000D3E72"/>
    <w:rsid w:val="000D600B"/>
    <w:rsid w:val="000D7BE8"/>
    <w:rsid w:val="000E11A1"/>
    <w:rsid w:val="000E2615"/>
    <w:rsid w:val="000E2BA3"/>
    <w:rsid w:val="000E37A4"/>
    <w:rsid w:val="000E4305"/>
    <w:rsid w:val="000E49E8"/>
    <w:rsid w:val="000E56E6"/>
    <w:rsid w:val="000E63CA"/>
    <w:rsid w:val="000E7A1D"/>
    <w:rsid w:val="000E7F39"/>
    <w:rsid w:val="000F0353"/>
    <w:rsid w:val="000F0D10"/>
    <w:rsid w:val="000F10FD"/>
    <w:rsid w:val="000F2E49"/>
    <w:rsid w:val="000F348C"/>
    <w:rsid w:val="000F6166"/>
    <w:rsid w:val="000F6630"/>
    <w:rsid w:val="000F7268"/>
    <w:rsid w:val="00100AE6"/>
    <w:rsid w:val="00101063"/>
    <w:rsid w:val="00101611"/>
    <w:rsid w:val="00102A87"/>
    <w:rsid w:val="00102CB3"/>
    <w:rsid w:val="0010545B"/>
    <w:rsid w:val="00106574"/>
    <w:rsid w:val="001120B7"/>
    <w:rsid w:val="00112826"/>
    <w:rsid w:val="00112C6A"/>
    <w:rsid w:val="00112CD2"/>
    <w:rsid w:val="001130D3"/>
    <w:rsid w:val="0011431B"/>
    <w:rsid w:val="001174FC"/>
    <w:rsid w:val="001179E9"/>
    <w:rsid w:val="00117B01"/>
    <w:rsid w:val="00121053"/>
    <w:rsid w:val="00121DA3"/>
    <w:rsid w:val="001227E5"/>
    <w:rsid w:val="0012370C"/>
    <w:rsid w:val="001244F3"/>
    <w:rsid w:val="0012492C"/>
    <w:rsid w:val="001256C6"/>
    <w:rsid w:val="00127487"/>
    <w:rsid w:val="001325EA"/>
    <w:rsid w:val="00133B30"/>
    <w:rsid w:val="00136C7C"/>
    <w:rsid w:val="00140073"/>
    <w:rsid w:val="00141CDB"/>
    <w:rsid w:val="001438D3"/>
    <w:rsid w:val="00143BD1"/>
    <w:rsid w:val="00144F88"/>
    <w:rsid w:val="00145240"/>
    <w:rsid w:val="00145494"/>
    <w:rsid w:val="00145526"/>
    <w:rsid w:val="001455C3"/>
    <w:rsid w:val="00145CD8"/>
    <w:rsid w:val="001465ED"/>
    <w:rsid w:val="00146792"/>
    <w:rsid w:val="00146FD3"/>
    <w:rsid w:val="001501EC"/>
    <w:rsid w:val="001507CC"/>
    <w:rsid w:val="001527C8"/>
    <w:rsid w:val="00152DA1"/>
    <w:rsid w:val="00153C38"/>
    <w:rsid w:val="0016000B"/>
    <w:rsid w:val="001603A4"/>
    <w:rsid w:val="0016212B"/>
    <w:rsid w:val="0016295A"/>
    <w:rsid w:val="00162CEF"/>
    <w:rsid w:val="001645BE"/>
    <w:rsid w:val="0016475E"/>
    <w:rsid w:val="001676B5"/>
    <w:rsid w:val="00167C35"/>
    <w:rsid w:val="00167F28"/>
    <w:rsid w:val="00170C05"/>
    <w:rsid w:val="00170C79"/>
    <w:rsid w:val="00172A27"/>
    <w:rsid w:val="00172BE8"/>
    <w:rsid w:val="00175CDA"/>
    <w:rsid w:val="00177B6C"/>
    <w:rsid w:val="00177CAC"/>
    <w:rsid w:val="00180367"/>
    <w:rsid w:val="001820E5"/>
    <w:rsid w:val="0018511C"/>
    <w:rsid w:val="001853F9"/>
    <w:rsid w:val="00185B35"/>
    <w:rsid w:val="00185C42"/>
    <w:rsid w:val="001861E7"/>
    <w:rsid w:val="001863D6"/>
    <w:rsid w:val="001871D2"/>
    <w:rsid w:val="00187FF3"/>
    <w:rsid w:val="00190329"/>
    <w:rsid w:val="001927C0"/>
    <w:rsid w:val="00192E3D"/>
    <w:rsid w:val="0019431D"/>
    <w:rsid w:val="001945AC"/>
    <w:rsid w:val="00194E94"/>
    <w:rsid w:val="001950BF"/>
    <w:rsid w:val="00196D65"/>
    <w:rsid w:val="00197EF6"/>
    <w:rsid w:val="001A0C49"/>
    <w:rsid w:val="001A1C0B"/>
    <w:rsid w:val="001A3291"/>
    <w:rsid w:val="001A3D0B"/>
    <w:rsid w:val="001A4152"/>
    <w:rsid w:val="001A6262"/>
    <w:rsid w:val="001A7170"/>
    <w:rsid w:val="001A734A"/>
    <w:rsid w:val="001A78FE"/>
    <w:rsid w:val="001B0B57"/>
    <w:rsid w:val="001B0BF2"/>
    <w:rsid w:val="001B618F"/>
    <w:rsid w:val="001B641C"/>
    <w:rsid w:val="001B683B"/>
    <w:rsid w:val="001B6B21"/>
    <w:rsid w:val="001C0674"/>
    <w:rsid w:val="001C15A8"/>
    <w:rsid w:val="001C237C"/>
    <w:rsid w:val="001C39B9"/>
    <w:rsid w:val="001C4451"/>
    <w:rsid w:val="001C7E9F"/>
    <w:rsid w:val="001D02EC"/>
    <w:rsid w:val="001D08CF"/>
    <w:rsid w:val="001D105E"/>
    <w:rsid w:val="001D11C2"/>
    <w:rsid w:val="001D183C"/>
    <w:rsid w:val="001D18D1"/>
    <w:rsid w:val="001D21DB"/>
    <w:rsid w:val="001D47F0"/>
    <w:rsid w:val="001E14C5"/>
    <w:rsid w:val="001E1D30"/>
    <w:rsid w:val="001E40EA"/>
    <w:rsid w:val="001E7202"/>
    <w:rsid w:val="001E7C64"/>
    <w:rsid w:val="001F08DA"/>
    <w:rsid w:val="001F1337"/>
    <w:rsid w:val="001F3A1A"/>
    <w:rsid w:val="001F43A0"/>
    <w:rsid w:val="001F51A0"/>
    <w:rsid w:val="001F5BD0"/>
    <w:rsid w:val="00200DE5"/>
    <w:rsid w:val="00201600"/>
    <w:rsid w:val="00202521"/>
    <w:rsid w:val="00202B35"/>
    <w:rsid w:val="002033AF"/>
    <w:rsid w:val="00205C34"/>
    <w:rsid w:val="0020696D"/>
    <w:rsid w:val="002070D9"/>
    <w:rsid w:val="002108BF"/>
    <w:rsid w:val="002113C0"/>
    <w:rsid w:val="00213B16"/>
    <w:rsid w:val="0021562A"/>
    <w:rsid w:val="002213D9"/>
    <w:rsid w:val="00221F01"/>
    <w:rsid w:val="00221F10"/>
    <w:rsid w:val="00222B96"/>
    <w:rsid w:val="00226255"/>
    <w:rsid w:val="00231027"/>
    <w:rsid w:val="00232A20"/>
    <w:rsid w:val="00233406"/>
    <w:rsid w:val="00234FC9"/>
    <w:rsid w:val="00235113"/>
    <w:rsid w:val="0023522D"/>
    <w:rsid w:val="002353AA"/>
    <w:rsid w:val="00235979"/>
    <w:rsid w:val="00235A03"/>
    <w:rsid w:val="00236EE2"/>
    <w:rsid w:val="00241748"/>
    <w:rsid w:val="00242B6F"/>
    <w:rsid w:val="002444A3"/>
    <w:rsid w:val="00244CC6"/>
    <w:rsid w:val="00245075"/>
    <w:rsid w:val="00246320"/>
    <w:rsid w:val="00246944"/>
    <w:rsid w:val="00247560"/>
    <w:rsid w:val="0025045E"/>
    <w:rsid w:val="00250D0E"/>
    <w:rsid w:val="00251AFB"/>
    <w:rsid w:val="002523E2"/>
    <w:rsid w:val="00254BE3"/>
    <w:rsid w:val="002555F3"/>
    <w:rsid w:val="00255B38"/>
    <w:rsid w:val="00255BC4"/>
    <w:rsid w:val="0025618B"/>
    <w:rsid w:val="0026115A"/>
    <w:rsid w:val="002615BD"/>
    <w:rsid w:val="00264DD2"/>
    <w:rsid w:val="00265D95"/>
    <w:rsid w:val="0026679C"/>
    <w:rsid w:val="00267567"/>
    <w:rsid w:val="00270615"/>
    <w:rsid w:val="00272CC0"/>
    <w:rsid w:val="00273B55"/>
    <w:rsid w:val="0027409F"/>
    <w:rsid w:val="00274B2D"/>
    <w:rsid w:val="00274E55"/>
    <w:rsid w:val="002758D1"/>
    <w:rsid w:val="00277BCA"/>
    <w:rsid w:val="002829FE"/>
    <w:rsid w:val="00283CD5"/>
    <w:rsid w:val="00283DEC"/>
    <w:rsid w:val="002851D1"/>
    <w:rsid w:val="002861CB"/>
    <w:rsid w:val="00286420"/>
    <w:rsid w:val="002865EE"/>
    <w:rsid w:val="00287627"/>
    <w:rsid w:val="00287C49"/>
    <w:rsid w:val="00291D0E"/>
    <w:rsid w:val="00295AC8"/>
    <w:rsid w:val="002961EA"/>
    <w:rsid w:val="002974D5"/>
    <w:rsid w:val="002A2F11"/>
    <w:rsid w:val="002A328E"/>
    <w:rsid w:val="002A3F88"/>
    <w:rsid w:val="002A4A12"/>
    <w:rsid w:val="002A5639"/>
    <w:rsid w:val="002A6BDB"/>
    <w:rsid w:val="002A6CB7"/>
    <w:rsid w:val="002A7095"/>
    <w:rsid w:val="002B08E6"/>
    <w:rsid w:val="002B0CD4"/>
    <w:rsid w:val="002B195C"/>
    <w:rsid w:val="002B2435"/>
    <w:rsid w:val="002B277D"/>
    <w:rsid w:val="002B45B7"/>
    <w:rsid w:val="002B46C3"/>
    <w:rsid w:val="002B5518"/>
    <w:rsid w:val="002B5B14"/>
    <w:rsid w:val="002B5E13"/>
    <w:rsid w:val="002C162E"/>
    <w:rsid w:val="002C1ED0"/>
    <w:rsid w:val="002C221A"/>
    <w:rsid w:val="002C224E"/>
    <w:rsid w:val="002C43AA"/>
    <w:rsid w:val="002C6026"/>
    <w:rsid w:val="002C626C"/>
    <w:rsid w:val="002D005D"/>
    <w:rsid w:val="002D1911"/>
    <w:rsid w:val="002D229E"/>
    <w:rsid w:val="002D2CD9"/>
    <w:rsid w:val="002D3EFA"/>
    <w:rsid w:val="002D4563"/>
    <w:rsid w:val="002D476B"/>
    <w:rsid w:val="002D752A"/>
    <w:rsid w:val="002D7EF4"/>
    <w:rsid w:val="002E0DCA"/>
    <w:rsid w:val="002E1581"/>
    <w:rsid w:val="002E1E87"/>
    <w:rsid w:val="002E3867"/>
    <w:rsid w:val="002E3F54"/>
    <w:rsid w:val="002E5EBE"/>
    <w:rsid w:val="002E619C"/>
    <w:rsid w:val="002E6CE8"/>
    <w:rsid w:val="002E7503"/>
    <w:rsid w:val="002E792F"/>
    <w:rsid w:val="002E7B6F"/>
    <w:rsid w:val="002E7E8C"/>
    <w:rsid w:val="002F08C1"/>
    <w:rsid w:val="002F191F"/>
    <w:rsid w:val="002F25B7"/>
    <w:rsid w:val="002F3CA4"/>
    <w:rsid w:val="002F6A32"/>
    <w:rsid w:val="002F77A7"/>
    <w:rsid w:val="00300FE2"/>
    <w:rsid w:val="00301185"/>
    <w:rsid w:val="0030227F"/>
    <w:rsid w:val="00304848"/>
    <w:rsid w:val="00307F3C"/>
    <w:rsid w:val="00312B4C"/>
    <w:rsid w:val="00314CC4"/>
    <w:rsid w:val="003167B3"/>
    <w:rsid w:val="00317F61"/>
    <w:rsid w:val="003204A2"/>
    <w:rsid w:val="00320C10"/>
    <w:rsid w:val="00321EF3"/>
    <w:rsid w:val="0032381E"/>
    <w:rsid w:val="00324C6F"/>
    <w:rsid w:val="003252AE"/>
    <w:rsid w:val="003273B3"/>
    <w:rsid w:val="0032765C"/>
    <w:rsid w:val="00330267"/>
    <w:rsid w:val="00330960"/>
    <w:rsid w:val="00332137"/>
    <w:rsid w:val="00332E44"/>
    <w:rsid w:val="00335895"/>
    <w:rsid w:val="003366ED"/>
    <w:rsid w:val="003376E2"/>
    <w:rsid w:val="003412C6"/>
    <w:rsid w:val="00341893"/>
    <w:rsid w:val="00341EB5"/>
    <w:rsid w:val="003423CF"/>
    <w:rsid w:val="00342B00"/>
    <w:rsid w:val="00342E81"/>
    <w:rsid w:val="00345F80"/>
    <w:rsid w:val="00347502"/>
    <w:rsid w:val="003478EF"/>
    <w:rsid w:val="003508AC"/>
    <w:rsid w:val="003516BA"/>
    <w:rsid w:val="00354E7F"/>
    <w:rsid w:val="00355F2C"/>
    <w:rsid w:val="00362C72"/>
    <w:rsid w:val="003633D4"/>
    <w:rsid w:val="00363977"/>
    <w:rsid w:val="003646C6"/>
    <w:rsid w:val="0037061B"/>
    <w:rsid w:val="00373448"/>
    <w:rsid w:val="003737D2"/>
    <w:rsid w:val="00374B4B"/>
    <w:rsid w:val="00375BF9"/>
    <w:rsid w:val="00376C9A"/>
    <w:rsid w:val="00377CF5"/>
    <w:rsid w:val="00380F04"/>
    <w:rsid w:val="003821B4"/>
    <w:rsid w:val="00382C2A"/>
    <w:rsid w:val="00385A58"/>
    <w:rsid w:val="00386772"/>
    <w:rsid w:val="00386D0B"/>
    <w:rsid w:val="00386EC9"/>
    <w:rsid w:val="003903E9"/>
    <w:rsid w:val="003905DB"/>
    <w:rsid w:val="00391E9E"/>
    <w:rsid w:val="0039216B"/>
    <w:rsid w:val="0039262F"/>
    <w:rsid w:val="00392AD5"/>
    <w:rsid w:val="00393A70"/>
    <w:rsid w:val="00393C51"/>
    <w:rsid w:val="00394A33"/>
    <w:rsid w:val="003950F3"/>
    <w:rsid w:val="003955E6"/>
    <w:rsid w:val="00397614"/>
    <w:rsid w:val="00397AF3"/>
    <w:rsid w:val="003A3D20"/>
    <w:rsid w:val="003A42DE"/>
    <w:rsid w:val="003A6AFE"/>
    <w:rsid w:val="003A755E"/>
    <w:rsid w:val="003B0C04"/>
    <w:rsid w:val="003B1AA1"/>
    <w:rsid w:val="003B3247"/>
    <w:rsid w:val="003B3CCA"/>
    <w:rsid w:val="003B4846"/>
    <w:rsid w:val="003B5684"/>
    <w:rsid w:val="003B587C"/>
    <w:rsid w:val="003C094F"/>
    <w:rsid w:val="003C1109"/>
    <w:rsid w:val="003C2B77"/>
    <w:rsid w:val="003C343F"/>
    <w:rsid w:val="003C448A"/>
    <w:rsid w:val="003C4DC5"/>
    <w:rsid w:val="003C558E"/>
    <w:rsid w:val="003C64DF"/>
    <w:rsid w:val="003D1C7C"/>
    <w:rsid w:val="003D33E3"/>
    <w:rsid w:val="003D37B7"/>
    <w:rsid w:val="003D5404"/>
    <w:rsid w:val="003E2D8D"/>
    <w:rsid w:val="003E34C6"/>
    <w:rsid w:val="003E3E25"/>
    <w:rsid w:val="003E4F05"/>
    <w:rsid w:val="003E555D"/>
    <w:rsid w:val="003E5B56"/>
    <w:rsid w:val="003E71C2"/>
    <w:rsid w:val="003E7D91"/>
    <w:rsid w:val="003E7FCD"/>
    <w:rsid w:val="003F1595"/>
    <w:rsid w:val="003F16DA"/>
    <w:rsid w:val="003F20C9"/>
    <w:rsid w:val="003F215A"/>
    <w:rsid w:val="003F33FA"/>
    <w:rsid w:val="003F35EA"/>
    <w:rsid w:val="003F4F22"/>
    <w:rsid w:val="003F7CF2"/>
    <w:rsid w:val="003F7E38"/>
    <w:rsid w:val="004008FE"/>
    <w:rsid w:val="00401279"/>
    <w:rsid w:val="00401DEA"/>
    <w:rsid w:val="004020CF"/>
    <w:rsid w:val="004022AE"/>
    <w:rsid w:val="004025D6"/>
    <w:rsid w:val="00403296"/>
    <w:rsid w:val="004040F9"/>
    <w:rsid w:val="00404806"/>
    <w:rsid w:val="00407282"/>
    <w:rsid w:val="004128B8"/>
    <w:rsid w:val="00414E0F"/>
    <w:rsid w:val="00415044"/>
    <w:rsid w:val="00422254"/>
    <w:rsid w:val="004254AF"/>
    <w:rsid w:val="004257E2"/>
    <w:rsid w:val="00425C71"/>
    <w:rsid w:val="0042754C"/>
    <w:rsid w:val="00431D10"/>
    <w:rsid w:val="00432C6B"/>
    <w:rsid w:val="00434302"/>
    <w:rsid w:val="00435FDB"/>
    <w:rsid w:val="00437A6C"/>
    <w:rsid w:val="00437B95"/>
    <w:rsid w:val="004412A1"/>
    <w:rsid w:val="004417AB"/>
    <w:rsid w:val="0044270C"/>
    <w:rsid w:val="00442CD0"/>
    <w:rsid w:val="00443DA7"/>
    <w:rsid w:val="00444680"/>
    <w:rsid w:val="00444A97"/>
    <w:rsid w:val="00444D32"/>
    <w:rsid w:val="00445093"/>
    <w:rsid w:val="0044670B"/>
    <w:rsid w:val="00446CF0"/>
    <w:rsid w:val="0044795F"/>
    <w:rsid w:val="00447A12"/>
    <w:rsid w:val="00453B54"/>
    <w:rsid w:val="00454B75"/>
    <w:rsid w:val="004575EB"/>
    <w:rsid w:val="004577C4"/>
    <w:rsid w:val="00460186"/>
    <w:rsid w:val="00463A72"/>
    <w:rsid w:val="00463DD7"/>
    <w:rsid w:val="0046482B"/>
    <w:rsid w:val="004649EC"/>
    <w:rsid w:val="00465869"/>
    <w:rsid w:val="004660F8"/>
    <w:rsid w:val="0047009E"/>
    <w:rsid w:val="00470678"/>
    <w:rsid w:val="0047067B"/>
    <w:rsid w:val="004726F5"/>
    <w:rsid w:val="00477055"/>
    <w:rsid w:val="00477E15"/>
    <w:rsid w:val="0048057B"/>
    <w:rsid w:val="0048353D"/>
    <w:rsid w:val="00484036"/>
    <w:rsid w:val="00485E33"/>
    <w:rsid w:val="0049016F"/>
    <w:rsid w:val="00492EC2"/>
    <w:rsid w:val="00493454"/>
    <w:rsid w:val="00494A08"/>
    <w:rsid w:val="00496223"/>
    <w:rsid w:val="00496C02"/>
    <w:rsid w:val="004A1933"/>
    <w:rsid w:val="004A28C9"/>
    <w:rsid w:val="004A376C"/>
    <w:rsid w:val="004A3B94"/>
    <w:rsid w:val="004A5921"/>
    <w:rsid w:val="004A5DF2"/>
    <w:rsid w:val="004A6DAC"/>
    <w:rsid w:val="004A7679"/>
    <w:rsid w:val="004A7F57"/>
    <w:rsid w:val="004B0939"/>
    <w:rsid w:val="004B1B75"/>
    <w:rsid w:val="004B589A"/>
    <w:rsid w:val="004C1461"/>
    <w:rsid w:val="004C316A"/>
    <w:rsid w:val="004C57E2"/>
    <w:rsid w:val="004C631B"/>
    <w:rsid w:val="004C6427"/>
    <w:rsid w:val="004C67DE"/>
    <w:rsid w:val="004D04DE"/>
    <w:rsid w:val="004D24EC"/>
    <w:rsid w:val="004D3135"/>
    <w:rsid w:val="004D3ED0"/>
    <w:rsid w:val="004E02EC"/>
    <w:rsid w:val="004E08B1"/>
    <w:rsid w:val="004E3A56"/>
    <w:rsid w:val="004E5410"/>
    <w:rsid w:val="004E7026"/>
    <w:rsid w:val="004E74D1"/>
    <w:rsid w:val="004E7905"/>
    <w:rsid w:val="004E7A47"/>
    <w:rsid w:val="004F02AB"/>
    <w:rsid w:val="004F08DD"/>
    <w:rsid w:val="004F1E98"/>
    <w:rsid w:val="004F2D98"/>
    <w:rsid w:val="004F421E"/>
    <w:rsid w:val="004F59D4"/>
    <w:rsid w:val="004F7D9A"/>
    <w:rsid w:val="00500261"/>
    <w:rsid w:val="00500A76"/>
    <w:rsid w:val="005023E3"/>
    <w:rsid w:val="00502455"/>
    <w:rsid w:val="0050334B"/>
    <w:rsid w:val="0050353F"/>
    <w:rsid w:val="00503D6D"/>
    <w:rsid w:val="00504D6D"/>
    <w:rsid w:val="00505FA6"/>
    <w:rsid w:val="00510ED2"/>
    <w:rsid w:val="00511397"/>
    <w:rsid w:val="0051357E"/>
    <w:rsid w:val="00513ED5"/>
    <w:rsid w:val="005152AC"/>
    <w:rsid w:val="005170A1"/>
    <w:rsid w:val="0051720A"/>
    <w:rsid w:val="00517336"/>
    <w:rsid w:val="005214BD"/>
    <w:rsid w:val="00521DB4"/>
    <w:rsid w:val="00524CEE"/>
    <w:rsid w:val="0052564C"/>
    <w:rsid w:val="0052621C"/>
    <w:rsid w:val="0053064C"/>
    <w:rsid w:val="00530B9C"/>
    <w:rsid w:val="00531DD0"/>
    <w:rsid w:val="005321B3"/>
    <w:rsid w:val="005327D7"/>
    <w:rsid w:val="005369C6"/>
    <w:rsid w:val="00536E75"/>
    <w:rsid w:val="00537D2C"/>
    <w:rsid w:val="00540587"/>
    <w:rsid w:val="00540AFE"/>
    <w:rsid w:val="00540F07"/>
    <w:rsid w:val="005417AE"/>
    <w:rsid w:val="00541B92"/>
    <w:rsid w:val="00542DD3"/>
    <w:rsid w:val="00543194"/>
    <w:rsid w:val="0054358D"/>
    <w:rsid w:val="0054383D"/>
    <w:rsid w:val="0054394D"/>
    <w:rsid w:val="00545298"/>
    <w:rsid w:val="00545364"/>
    <w:rsid w:val="00547A66"/>
    <w:rsid w:val="00550F5C"/>
    <w:rsid w:val="00553916"/>
    <w:rsid w:val="005547F9"/>
    <w:rsid w:val="00556076"/>
    <w:rsid w:val="00556633"/>
    <w:rsid w:val="005569C7"/>
    <w:rsid w:val="005622A9"/>
    <w:rsid w:val="00564565"/>
    <w:rsid w:val="0056598F"/>
    <w:rsid w:val="00565ECE"/>
    <w:rsid w:val="00565F08"/>
    <w:rsid w:val="00570A9B"/>
    <w:rsid w:val="005718C3"/>
    <w:rsid w:val="0057216A"/>
    <w:rsid w:val="0057461B"/>
    <w:rsid w:val="005808C1"/>
    <w:rsid w:val="00580911"/>
    <w:rsid w:val="0058145A"/>
    <w:rsid w:val="005825F7"/>
    <w:rsid w:val="00582613"/>
    <w:rsid w:val="005841A0"/>
    <w:rsid w:val="0058502C"/>
    <w:rsid w:val="00585692"/>
    <w:rsid w:val="005910F2"/>
    <w:rsid w:val="00592D27"/>
    <w:rsid w:val="00593DAE"/>
    <w:rsid w:val="005947F6"/>
    <w:rsid w:val="00596C78"/>
    <w:rsid w:val="005A021E"/>
    <w:rsid w:val="005A05E3"/>
    <w:rsid w:val="005A0763"/>
    <w:rsid w:val="005A5362"/>
    <w:rsid w:val="005A60D6"/>
    <w:rsid w:val="005A726F"/>
    <w:rsid w:val="005A782F"/>
    <w:rsid w:val="005B1528"/>
    <w:rsid w:val="005B3101"/>
    <w:rsid w:val="005B34D9"/>
    <w:rsid w:val="005B5E08"/>
    <w:rsid w:val="005B5FD0"/>
    <w:rsid w:val="005B71C3"/>
    <w:rsid w:val="005C0398"/>
    <w:rsid w:val="005C1416"/>
    <w:rsid w:val="005C2973"/>
    <w:rsid w:val="005C33CC"/>
    <w:rsid w:val="005C561B"/>
    <w:rsid w:val="005C77B6"/>
    <w:rsid w:val="005C788E"/>
    <w:rsid w:val="005C7DA3"/>
    <w:rsid w:val="005D1656"/>
    <w:rsid w:val="005D1E96"/>
    <w:rsid w:val="005D41FA"/>
    <w:rsid w:val="005D54F3"/>
    <w:rsid w:val="005D5EAC"/>
    <w:rsid w:val="005D65A4"/>
    <w:rsid w:val="005D6EB5"/>
    <w:rsid w:val="005E1218"/>
    <w:rsid w:val="005E1A7E"/>
    <w:rsid w:val="005E1BB4"/>
    <w:rsid w:val="005E7DB7"/>
    <w:rsid w:val="005F0A50"/>
    <w:rsid w:val="005F13AE"/>
    <w:rsid w:val="005F3C22"/>
    <w:rsid w:val="005F4367"/>
    <w:rsid w:val="005F4BA7"/>
    <w:rsid w:val="005F72B1"/>
    <w:rsid w:val="005F7F2C"/>
    <w:rsid w:val="00601F5E"/>
    <w:rsid w:val="00602DE7"/>
    <w:rsid w:val="00603B18"/>
    <w:rsid w:val="00603EA6"/>
    <w:rsid w:val="006043F3"/>
    <w:rsid w:val="00605AF8"/>
    <w:rsid w:val="0060659C"/>
    <w:rsid w:val="0061040B"/>
    <w:rsid w:val="00610F8A"/>
    <w:rsid w:val="00611197"/>
    <w:rsid w:val="006148D6"/>
    <w:rsid w:val="006200BC"/>
    <w:rsid w:val="0063010F"/>
    <w:rsid w:val="0063059B"/>
    <w:rsid w:val="006309A1"/>
    <w:rsid w:val="00631180"/>
    <w:rsid w:val="00631773"/>
    <w:rsid w:val="00631B18"/>
    <w:rsid w:val="0063319A"/>
    <w:rsid w:val="006356BD"/>
    <w:rsid w:val="006370DF"/>
    <w:rsid w:val="00637C30"/>
    <w:rsid w:val="00637DDA"/>
    <w:rsid w:val="00640365"/>
    <w:rsid w:val="0064045D"/>
    <w:rsid w:val="00640F70"/>
    <w:rsid w:val="0064135B"/>
    <w:rsid w:val="00641508"/>
    <w:rsid w:val="0064249C"/>
    <w:rsid w:val="0064255B"/>
    <w:rsid w:val="00643BB1"/>
    <w:rsid w:val="00644BEE"/>
    <w:rsid w:val="0064532F"/>
    <w:rsid w:val="00647FE9"/>
    <w:rsid w:val="00650456"/>
    <w:rsid w:val="0065398B"/>
    <w:rsid w:val="00653CA2"/>
    <w:rsid w:val="00654B1E"/>
    <w:rsid w:val="006560FB"/>
    <w:rsid w:val="00656ED7"/>
    <w:rsid w:val="00657EDB"/>
    <w:rsid w:val="00663C15"/>
    <w:rsid w:val="00664429"/>
    <w:rsid w:val="00665473"/>
    <w:rsid w:val="00666B3A"/>
    <w:rsid w:val="00666EFF"/>
    <w:rsid w:val="00670B57"/>
    <w:rsid w:val="0067186F"/>
    <w:rsid w:val="00672399"/>
    <w:rsid w:val="00673590"/>
    <w:rsid w:val="00674B93"/>
    <w:rsid w:val="00675D03"/>
    <w:rsid w:val="00675F37"/>
    <w:rsid w:val="00676D45"/>
    <w:rsid w:val="00676FB6"/>
    <w:rsid w:val="00677674"/>
    <w:rsid w:val="00677BC3"/>
    <w:rsid w:val="006804E7"/>
    <w:rsid w:val="00682A78"/>
    <w:rsid w:val="006832F2"/>
    <w:rsid w:val="0068419A"/>
    <w:rsid w:val="0068490A"/>
    <w:rsid w:val="00685397"/>
    <w:rsid w:val="0069078D"/>
    <w:rsid w:val="00694E23"/>
    <w:rsid w:val="00696652"/>
    <w:rsid w:val="006A06D5"/>
    <w:rsid w:val="006A08D0"/>
    <w:rsid w:val="006A09F2"/>
    <w:rsid w:val="006A0DF0"/>
    <w:rsid w:val="006A1C79"/>
    <w:rsid w:val="006A2638"/>
    <w:rsid w:val="006A2C63"/>
    <w:rsid w:val="006A30D3"/>
    <w:rsid w:val="006A438C"/>
    <w:rsid w:val="006A4C8B"/>
    <w:rsid w:val="006A52D5"/>
    <w:rsid w:val="006A68E7"/>
    <w:rsid w:val="006A6DDD"/>
    <w:rsid w:val="006A7260"/>
    <w:rsid w:val="006A760D"/>
    <w:rsid w:val="006A77FC"/>
    <w:rsid w:val="006B1794"/>
    <w:rsid w:val="006B1D83"/>
    <w:rsid w:val="006B25A7"/>
    <w:rsid w:val="006B2BA0"/>
    <w:rsid w:val="006B3744"/>
    <w:rsid w:val="006B4FD0"/>
    <w:rsid w:val="006B70BA"/>
    <w:rsid w:val="006C0B15"/>
    <w:rsid w:val="006C1F8C"/>
    <w:rsid w:val="006C25B9"/>
    <w:rsid w:val="006C30DB"/>
    <w:rsid w:val="006C315B"/>
    <w:rsid w:val="006C36C7"/>
    <w:rsid w:val="006C5AA7"/>
    <w:rsid w:val="006C60DD"/>
    <w:rsid w:val="006C76E0"/>
    <w:rsid w:val="006D2948"/>
    <w:rsid w:val="006D7681"/>
    <w:rsid w:val="006E28CF"/>
    <w:rsid w:val="006E28D9"/>
    <w:rsid w:val="006E2CE8"/>
    <w:rsid w:val="006E3FB7"/>
    <w:rsid w:val="006E4B5A"/>
    <w:rsid w:val="006E4B92"/>
    <w:rsid w:val="006E5A6A"/>
    <w:rsid w:val="006E6774"/>
    <w:rsid w:val="006E7E69"/>
    <w:rsid w:val="006F2AD1"/>
    <w:rsid w:val="006F383B"/>
    <w:rsid w:val="006F389F"/>
    <w:rsid w:val="0070009E"/>
    <w:rsid w:val="007014BE"/>
    <w:rsid w:val="00701F47"/>
    <w:rsid w:val="00701F54"/>
    <w:rsid w:val="00702962"/>
    <w:rsid w:val="00705375"/>
    <w:rsid w:val="00705BD2"/>
    <w:rsid w:val="00706BB3"/>
    <w:rsid w:val="00706DA7"/>
    <w:rsid w:val="00707B56"/>
    <w:rsid w:val="00707E5A"/>
    <w:rsid w:val="00711AA7"/>
    <w:rsid w:val="00713EB9"/>
    <w:rsid w:val="00714070"/>
    <w:rsid w:val="007147D7"/>
    <w:rsid w:val="00714BFE"/>
    <w:rsid w:val="00714E08"/>
    <w:rsid w:val="00715427"/>
    <w:rsid w:val="00717282"/>
    <w:rsid w:val="00717A68"/>
    <w:rsid w:val="00720281"/>
    <w:rsid w:val="007214E1"/>
    <w:rsid w:val="00721D61"/>
    <w:rsid w:val="00722A3F"/>
    <w:rsid w:val="00723592"/>
    <w:rsid w:val="00723D4D"/>
    <w:rsid w:val="00725498"/>
    <w:rsid w:val="00726A4C"/>
    <w:rsid w:val="00727176"/>
    <w:rsid w:val="00730F8F"/>
    <w:rsid w:val="00731BFE"/>
    <w:rsid w:val="00731DA8"/>
    <w:rsid w:val="0073336A"/>
    <w:rsid w:val="00733AE1"/>
    <w:rsid w:val="00733F4C"/>
    <w:rsid w:val="00735548"/>
    <w:rsid w:val="00736EC8"/>
    <w:rsid w:val="007376E9"/>
    <w:rsid w:val="00741059"/>
    <w:rsid w:val="007421BC"/>
    <w:rsid w:val="00742B38"/>
    <w:rsid w:val="0074325C"/>
    <w:rsid w:val="00745037"/>
    <w:rsid w:val="0074505F"/>
    <w:rsid w:val="00745BCA"/>
    <w:rsid w:val="00746281"/>
    <w:rsid w:val="00747083"/>
    <w:rsid w:val="0075082E"/>
    <w:rsid w:val="0075095C"/>
    <w:rsid w:val="00752853"/>
    <w:rsid w:val="0075330E"/>
    <w:rsid w:val="00755BAE"/>
    <w:rsid w:val="0075647B"/>
    <w:rsid w:val="007568E9"/>
    <w:rsid w:val="0075759A"/>
    <w:rsid w:val="0076012E"/>
    <w:rsid w:val="00760596"/>
    <w:rsid w:val="007615C4"/>
    <w:rsid w:val="00762B8B"/>
    <w:rsid w:val="00763159"/>
    <w:rsid w:val="00763D7A"/>
    <w:rsid w:val="00764570"/>
    <w:rsid w:val="007665C7"/>
    <w:rsid w:val="00770C3B"/>
    <w:rsid w:val="00772381"/>
    <w:rsid w:val="007734F3"/>
    <w:rsid w:val="0077379E"/>
    <w:rsid w:val="00773B7D"/>
    <w:rsid w:val="00773DF1"/>
    <w:rsid w:val="00774C3C"/>
    <w:rsid w:val="00774D5C"/>
    <w:rsid w:val="007754A8"/>
    <w:rsid w:val="0077768D"/>
    <w:rsid w:val="007806CE"/>
    <w:rsid w:val="007814BF"/>
    <w:rsid w:val="00781B9D"/>
    <w:rsid w:val="0078211D"/>
    <w:rsid w:val="00782FAF"/>
    <w:rsid w:val="0078323A"/>
    <w:rsid w:val="007845C7"/>
    <w:rsid w:val="007845F6"/>
    <w:rsid w:val="007858E7"/>
    <w:rsid w:val="0078608D"/>
    <w:rsid w:val="00787A83"/>
    <w:rsid w:val="00787C8E"/>
    <w:rsid w:val="007920BA"/>
    <w:rsid w:val="007930EA"/>
    <w:rsid w:val="00793298"/>
    <w:rsid w:val="00794046"/>
    <w:rsid w:val="00795321"/>
    <w:rsid w:val="00796962"/>
    <w:rsid w:val="00797F9D"/>
    <w:rsid w:val="007A1BA2"/>
    <w:rsid w:val="007A2334"/>
    <w:rsid w:val="007A26B1"/>
    <w:rsid w:val="007A2868"/>
    <w:rsid w:val="007A4F1E"/>
    <w:rsid w:val="007A58AF"/>
    <w:rsid w:val="007B04BC"/>
    <w:rsid w:val="007B38A8"/>
    <w:rsid w:val="007B46E7"/>
    <w:rsid w:val="007B7035"/>
    <w:rsid w:val="007C06F0"/>
    <w:rsid w:val="007C1010"/>
    <w:rsid w:val="007C14DC"/>
    <w:rsid w:val="007C1D23"/>
    <w:rsid w:val="007C5348"/>
    <w:rsid w:val="007C6F15"/>
    <w:rsid w:val="007C7C4F"/>
    <w:rsid w:val="007C7C64"/>
    <w:rsid w:val="007D044D"/>
    <w:rsid w:val="007D15FA"/>
    <w:rsid w:val="007D21BA"/>
    <w:rsid w:val="007D2473"/>
    <w:rsid w:val="007D33B8"/>
    <w:rsid w:val="007D40ED"/>
    <w:rsid w:val="007D5B7C"/>
    <w:rsid w:val="007D5F9B"/>
    <w:rsid w:val="007D6559"/>
    <w:rsid w:val="007D6658"/>
    <w:rsid w:val="007D7841"/>
    <w:rsid w:val="007E4727"/>
    <w:rsid w:val="007E5655"/>
    <w:rsid w:val="007E5705"/>
    <w:rsid w:val="007E590E"/>
    <w:rsid w:val="007F24CF"/>
    <w:rsid w:val="007F378F"/>
    <w:rsid w:val="007F4346"/>
    <w:rsid w:val="007F5082"/>
    <w:rsid w:val="007F613F"/>
    <w:rsid w:val="007F6289"/>
    <w:rsid w:val="007F6295"/>
    <w:rsid w:val="007F6DDE"/>
    <w:rsid w:val="00800B36"/>
    <w:rsid w:val="00800FCA"/>
    <w:rsid w:val="008025DF"/>
    <w:rsid w:val="00802A1A"/>
    <w:rsid w:val="00802D92"/>
    <w:rsid w:val="0080424A"/>
    <w:rsid w:val="008056FA"/>
    <w:rsid w:val="00805A54"/>
    <w:rsid w:val="00806184"/>
    <w:rsid w:val="008101F6"/>
    <w:rsid w:val="00813E08"/>
    <w:rsid w:val="008169D1"/>
    <w:rsid w:val="0081731F"/>
    <w:rsid w:val="008205A8"/>
    <w:rsid w:val="00820681"/>
    <w:rsid w:val="00821035"/>
    <w:rsid w:val="00821105"/>
    <w:rsid w:val="008225CA"/>
    <w:rsid w:val="00822F87"/>
    <w:rsid w:val="00823930"/>
    <w:rsid w:val="00826C32"/>
    <w:rsid w:val="00827521"/>
    <w:rsid w:val="00827923"/>
    <w:rsid w:val="008311DC"/>
    <w:rsid w:val="0083305E"/>
    <w:rsid w:val="00833D73"/>
    <w:rsid w:val="00835D0B"/>
    <w:rsid w:val="00840A9C"/>
    <w:rsid w:val="00841880"/>
    <w:rsid w:val="00841896"/>
    <w:rsid w:val="0084403B"/>
    <w:rsid w:val="008460AD"/>
    <w:rsid w:val="00847119"/>
    <w:rsid w:val="00851789"/>
    <w:rsid w:val="00852329"/>
    <w:rsid w:val="0085424E"/>
    <w:rsid w:val="00854362"/>
    <w:rsid w:val="0085641C"/>
    <w:rsid w:val="008644D9"/>
    <w:rsid w:val="00864B38"/>
    <w:rsid w:val="00872015"/>
    <w:rsid w:val="0087285D"/>
    <w:rsid w:val="00872ECE"/>
    <w:rsid w:val="00873F57"/>
    <w:rsid w:val="0087561F"/>
    <w:rsid w:val="00876A22"/>
    <w:rsid w:val="00876B84"/>
    <w:rsid w:val="00876FAF"/>
    <w:rsid w:val="00881A8B"/>
    <w:rsid w:val="008831C3"/>
    <w:rsid w:val="00883412"/>
    <w:rsid w:val="00883921"/>
    <w:rsid w:val="0088739E"/>
    <w:rsid w:val="008902A3"/>
    <w:rsid w:val="00890398"/>
    <w:rsid w:val="00895A07"/>
    <w:rsid w:val="008A0A8B"/>
    <w:rsid w:val="008A2392"/>
    <w:rsid w:val="008A2464"/>
    <w:rsid w:val="008A4B49"/>
    <w:rsid w:val="008A53AD"/>
    <w:rsid w:val="008A5A48"/>
    <w:rsid w:val="008A5CFD"/>
    <w:rsid w:val="008A5D6A"/>
    <w:rsid w:val="008B120E"/>
    <w:rsid w:val="008B1F1B"/>
    <w:rsid w:val="008B4507"/>
    <w:rsid w:val="008B773A"/>
    <w:rsid w:val="008C0E22"/>
    <w:rsid w:val="008C1F23"/>
    <w:rsid w:val="008C3B60"/>
    <w:rsid w:val="008C4337"/>
    <w:rsid w:val="008C5780"/>
    <w:rsid w:val="008C715F"/>
    <w:rsid w:val="008C7300"/>
    <w:rsid w:val="008D3C5B"/>
    <w:rsid w:val="008D3CC3"/>
    <w:rsid w:val="008D54EF"/>
    <w:rsid w:val="008D60E9"/>
    <w:rsid w:val="008D6A4E"/>
    <w:rsid w:val="008E0E51"/>
    <w:rsid w:val="008E4206"/>
    <w:rsid w:val="008E5457"/>
    <w:rsid w:val="008F238C"/>
    <w:rsid w:val="008F2BD3"/>
    <w:rsid w:val="008F2E7A"/>
    <w:rsid w:val="008F335C"/>
    <w:rsid w:val="008F3524"/>
    <w:rsid w:val="008F39E3"/>
    <w:rsid w:val="008F460B"/>
    <w:rsid w:val="008F69A1"/>
    <w:rsid w:val="009002F6"/>
    <w:rsid w:val="00900986"/>
    <w:rsid w:val="00901B4D"/>
    <w:rsid w:val="00901ECF"/>
    <w:rsid w:val="00903C7F"/>
    <w:rsid w:val="00906EE0"/>
    <w:rsid w:val="009070B9"/>
    <w:rsid w:val="00907EC9"/>
    <w:rsid w:val="0091145C"/>
    <w:rsid w:val="009129C4"/>
    <w:rsid w:val="00914238"/>
    <w:rsid w:val="009148B7"/>
    <w:rsid w:val="00915943"/>
    <w:rsid w:val="00916D2F"/>
    <w:rsid w:val="009222EE"/>
    <w:rsid w:val="00922467"/>
    <w:rsid w:val="00924A9E"/>
    <w:rsid w:val="00925A69"/>
    <w:rsid w:val="00925C79"/>
    <w:rsid w:val="009260DC"/>
    <w:rsid w:val="009267C4"/>
    <w:rsid w:val="00926AE1"/>
    <w:rsid w:val="00926BE0"/>
    <w:rsid w:val="00930F06"/>
    <w:rsid w:val="00931EFF"/>
    <w:rsid w:val="00931FCE"/>
    <w:rsid w:val="00933A3F"/>
    <w:rsid w:val="00933EDB"/>
    <w:rsid w:val="00933F56"/>
    <w:rsid w:val="00934039"/>
    <w:rsid w:val="00934055"/>
    <w:rsid w:val="0093426C"/>
    <w:rsid w:val="009343EC"/>
    <w:rsid w:val="009345F8"/>
    <w:rsid w:val="009346D7"/>
    <w:rsid w:val="009357D1"/>
    <w:rsid w:val="00941014"/>
    <w:rsid w:val="009417F8"/>
    <w:rsid w:val="00950E57"/>
    <w:rsid w:val="00951894"/>
    <w:rsid w:val="009518BB"/>
    <w:rsid w:val="00954350"/>
    <w:rsid w:val="009556C4"/>
    <w:rsid w:val="00970A69"/>
    <w:rsid w:val="00970DE0"/>
    <w:rsid w:val="009713EE"/>
    <w:rsid w:val="00971966"/>
    <w:rsid w:val="00971DB3"/>
    <w:rsid w:val="00975CCA"/>
    <w:rsid w:val="00976ACC"/>
    <w:rsid w:val="00980044"/>
    <w:rsid w:val="009805F1"/>
    <w:rsid w:val="00980B39"/>
    <w:rsid w:val="00980BD0"/>
    <w:rsid w:val="0098179A"/>
    <w:rsid w:val="009829DC"/>
    <w:rsid w:val="009836DD"/>
    <w:rsid w:val="009855E7"/>
    <w:rsid w:val="009863F7"/>
    <w:rsid w:val="00986ECA"/>
    <w:rsid w:val="00986F73"/>
    <w:rsid w:val="00987B57"/>
    <w:rsid w:val="00987C4C"/>
    <w:rsid w:val="00990921"/>
    <w:rsid w:val="009909DA"/>
    <w:rsid w:val="009921EF"/>
    <w:rsid w:val="009934D8"/>
    <w:rsid w:val="00993573"/>
    <w:rsid w:val="0099449A"/>
    <w:rsid w:val="00995B78"/>
    <w:rsid w:val="00995BDA"/>
    <w:rsid w:val="009976A3"/>
    <w:rsid w:val="009979C9"/>
    <w:rsid w:val="009A1D99"/>
    <w:rsid w:val="009A2180"/>
    <w:rsid w:val="009A2497"/>
    <w:rsid w:val="009A43BA"/>
    <w:rsid w:val="009A613B"/>
    <w:rsid w:val="009A6D6D"/>
    <w:rsid w:val="009B0669"/>
    <w:rsid w:val="009B18FE"/>
    <w:rsid w:val="009B1DF1"/>
    <w:rsid w:val="009B3611"/>
    <w:rsid w:val="009B3633"/>
    <w:rsid w:val="009B3D21"/>
    <w:rsid w:val="009B6961"/>
    <w:rsid w:val="009B6DF3"/>
    <w:rsid w:val="009C0C3E"/>
    <w:rsid w:val="009C130F"/>
    <w:rsid w:val="009C1D51"/>
    <w:rsid w:val="009C3AEE"/>
    <w:rsid w:val="009C536D"/>
    <w:rsid w:val="009C6206"/>
    <w:rsid w:val="009D0161"/>
    <w:rsid w:val="009D1E0E"/>
    <w:rsid w:val="009D27CD"/>
    <w:rsid w:val="009D283A"/>
    <w:rsid w:val="009D2BA1"/>
    <w:rsid w:val="009D4DAF"/>
    <w:rsid w:val="009D5EA2"/>
    <w:rsid w:val="009D6F82"/>
    <w:rsid w:val="009D6F8C"/>
    <w:rsid w:val="009E19D5"/>
    <w:rsid w:val="009E3316"/>
    <w:rsid w:val="009E44B6"/>
    <w:rsid w:val="009E59B9"/>
    <w:rsid w:val="009E5B2C"/>
    <w:rsid w:val="009E6DBF"/>
    <w:rsid w:val="009E7648"/>
    <w:rsid w:val="009F08E9"/>
    <w:rsid w:val="009F1700"/>
    <w:rsid w:val="009F1F4E"/>
    <w:rsid w:val="009F3E4E"/>
    <w:rsid w:val="009F4B0C"/>
    <w:rsid w:val="009F6CD6"/>
    <w:rsid w:val="009F7608"/>
    <w:rsid w:val="00A0002E"/>
    <w:rsid w:val="00A0005B"/>
    <w:rsid w:val="00A01285"/>
    <w:rsid w:val="00A01E70"/>
    <w:rsid w:val="00A07015"/>
    <w:rsid w:val="00A100F2"/>
    <w:rsid w:val="00A10B90"/>
    <w:rsid w:val="00A13D16"/>
    <w:rsid w:val="00A15D7C"/>
    <w:rsid w:val="00A179E1"/>
    <w:rsid w:val="00A2386B"/>
    <w:rsid w:val="00A23A43"/>
    <w:rsid w:val="00A246A0"/>
    <w:rsid w:val="00A24740"/>
    <w:rsid w:val="00A25AE2"/>
    <w:rsid w:val="00A26804"/>
    <w:rsid w:val="00A26AD5"/>
    <w:rsid w:val="00A2708D"/>
    <w:rsid w:val="00A2746B"/>
    <w:rsid w:val="00A27E0A"/>
    <w:rsid w:val="00A30568"/>
    <w:rsid w:val="00A30D6A"/>
    <w:rsid w:val="00A31088"/>
    <w:rsid w:val="00A31D9E"/>
    <w:rsid w:val="00A323F4"/>
    <w:rsid w:val="00A32A2B"/>
    <w:rsid w:val="00A33056"/>
    <w:rsid w:val="00A35DAA"/>
    <w:rsid w:val="00A3744D"/>
    <w:rsid w:val="00A37812"/>
    <w:rsid w:val="00A41F0A"/>
    <w:rsid w:val="00A43A50"/>
    <w:rsid w:val="00A4584D"/>
    <w:rsid w:val="00A4593B"/>
    <w:rsid w:val="00A45E60"/>
    <w:rsid w:val="00A45F57"/>
    <w:rsid w:val="00A5032F"/>
    <w:rsid w:val="00A513D5"/>
    <w:rsid w:val="00A51AA4"/>
    <w:rsid w:val="00A539AB"/>
    <w:rsid w:val="00A55AB0"/>
    <w:rsid w:val="00A56582"/>
    <w:rsid w:val="00A56918"/>
    <w:rsid w:val="00A57D95"/>
    <w:rsid w:val="00A57E78"/>
    <w:rsid w:val="00A57FD7"/>
    <w:rsid w:val="00A60A6D"/>
    <w:rsid w:val="00A618BD"/>
    <w:rsid w:val="00A61E3B"/>
    <w:rsid w:val="00A6223C"/>
    <w:rsid w:val="00A62890"/>
    <w:rsid w:val="00A62BAD"/>
    <w:rsid w:val="00A632AF"/>
    <w:rsid w:val="00A63690"/>
    <w:rsid w:val="00A64953"/>
    <w:rsid w:val="00A649C8"/>
    <w:rsid w:val="00A6625D"/>
    <w:rsid w:val="00A667EB"/>
    <w:rsid w:val="00A70B09"/>
    <w:rsid w:val="00A719D7"/>
    <w:rsid w:val="00A72723"/>
    <w:rsid w:val="00A73F7D"/>
    <w:rsid w:val="00A76EFC"/>
    <w:rsid w:val="00A854FB"/>
    <w:rsid w:val="00A85BE6"/>
    <w:rsid w:val="00A92936"/>
    <w:rsid w:val="00A92F08"/>
    <w:rsid w:val="00A93874"/>
    <w:rsid w:val="00A942F8"/>
    <w:rsid w:val="00A95EBB"/>
    <w:rsid w:val="00A96097"/>
    <w:rsid w:val="00A9793F"/>
    <w:rsid w:val="00AA0CB2"/>
    <w:rsid w:val="00AA2B4F"/>
    <w:rsid w:val="00AA33B1"/>
    <w:rsid w:val="00AA5945"/>
    <w:rsid w:val="00AA5DD2"/>
    <w:rsid w:val="00AA63B3"/>
    <w:rsid w:val="00AA6805"/>
    <w:rsid w:val="00AB0524"/>
    <w:rsid w:val="00AB1C6F"/>
    <w:rsid w:val="00AB35D4"/>
    <w:rsid w:val="00AB4C80"/>
    <w:rsid w:val="00AB692C"/>
    <w:rsid w:val="00AB6C04"/>
    <w:rsid w:val="00AB703F"/>
    <w:rsid w:val="00AB739B"/>
    <w:rsid w:val="00AC010F"/>
    <w:rsid w:val="00AC126F"/>
    <w:rsid w:val="00AC2E5C"/>
    <w:rsid w:val="00AC328E"/>
    <w:rsid w:val="00AC418D"/>
    <w:rsid w:val="00AC5C08"/>
    <w:rsid w:val="00AC5EDB"/>
    <w:rsid w:val="00AD2E46"/>
    <w:rsid w:val="00AD2E50"/>
    <w:rsid w:val="00AD5D79"/>
    <w:rsid w:val="00AD68D7"/>
    <w:rsid w:val="00AD6F23"/>
    <w:rsid w:val="00AD79E7"/>
    <w:rsid w:val="00AE009B"/>
    <w:rsid w:val="00AE0A91"/>
    <w:rsid w:val="00AE19D4"/>
    <w:rsid w:val="00AE4084"/>
    <w:rsid w:val="00AE4BAB"/>
    <w:rsid w:val="00AE4BB4"/>
    <w:rsid w:val="00AE53AD"/>
    <w:rsid w:val="00AE5F0E"/>
    <w:rsid w:val="00AE607E"/>
    <w:rsid w:val="00AE657B"/>
    <w:rsid w:val="00AE7461"/>
    <w:rsid w:val="00AE7869"/>
    <w:rsid w:val="00AF0266"/>
    <w:rsid w:val="00AF1E52"/>
    <w:rsid w:val="00AF1E8E"/>
    <w:rsid w:val="00AF2003"/>
    <w:rsid w:val="00AF256D"/>
    <w:rsid w:val="00AF3E42"/>
    <w:rsid w:val="00AF426D"/>
    <w:rsid w:val="00AF50E9"/>
    <w:rsid w:val="00AF5CA3"/>
    <w:rsid w:val="00B00844"/>
    <w:rsid w:val="00B00925"/>
    <w:rsid w:val="00B0258D"/>
    <w:rsid w:val="00B0311B"/>
    <w:rsid w:val="00B03152"/>
    <w:rsid w:val="00B04A10"/>
    <w:rsid w:val="00B051C8"/>
    <w:rsid w:val="00B0521C"/>
    <w:rsid w:val="00B05F2F"/>
    <w:rsid w:val="00B072E9"/>
    <w:rsid w:val="00B11A71"/>
    <w:rsid w:val="00B11D02"/>
    <w:rsid w:val="00B138C8"/>
    <w:rsid w:val="00B14B62"/>
    <w:rsid w:val="00B20E0F"/>
    <w:rsid w:val="00B2102D"/>
    <w:rsid w:val="00B220D6"/>
    <w:rsid w:val="00B227DE"/>
    <w:rsid w:val="00B2569B"/>
    <w:rsid w:val="00B25751"/>
    <w:rsid w:val="00B25968"/>
    <w:rsid w:val="00B260DF"/>
    <w:rsid w:val="00B31CB6"/>
    <w:rsid w:val="00B32E83"/>
    <w:rsid w:val="00B357CA"/>
    <w:rsid w:val="00B37A95"/>
    <w:rsid w:val="00B40442"/>
    <w:rsid w:val="00B409B2"/>
    <w:rsid w:val="00B40C7F"/>
    <w:rsid w:val="00B41BA4"/>
    <w:rsid w:val="00B4206A"/>
    <w:rsid w:val="00B43BA3"/>
    <w:rsid w:val="00B44975"/>
    <w:rsid w:val="00B463CB"/>
    <w:rsid w:val="00B47047"/>
    <w:rsid w:val="00B509E7"/>
    <w:rsid w:val="00B51641"/>
    <w:rsid w:val="00B519BD"/>
    <w:rsid w:val="00B53559"/>
    <w:rsid w:val="00B5735A"/>
    <w:rsid w:val="00B60E57"/>
    <w:rsid w:val="00B61E65"/>
    <w:rsid w:val="00B63A37"/>
    <w:rsid w:val="00B644BB"/>
    <w:rsid w:val="00B661AE"/>
    <w:rsid w:val="00B670CC"/>
    <w:rsid w:val="00B677E5"/>
    <w:rsid w:val="00B678E7"/>
    <w:rsid w:val="00B679FE"/>
    <w:rsid w:val="00B67F07"/>
    <w:rsid w:val="00B70350"/>
    <w:rsid w:val="00B703A7"/>
    <w:rsid w:val="00B722F6"/>
    <w:rsid w:val="00B727E7"/>
    <w:rsid w:val="00B73A6E"/>
    <w:rsid w:val="00B76890"/>
    <w:rsid w:val="00B80D26"/>
    <w:rsid w:val="00B8183F"/>
    <w:rsid w:val="00B81EE6"/>
    <w:rsid w:val="00B82E58"/>
    <w:rsid w:val="00B831E5"/>
    <w:rsid w:val="00B851B8"/>
    <w:rsid w:val="00B853C4"/>
    <w:rsid w:val="00B86317"/>
    <w:rsid w:val="00B87011"/>
    <w:rsid w:val="00B90BE0"/>
    <w:rsid w:val="00B9217B"/>
    <w:rsid w:val="00B93C3C"/>
    <w:rsid w:val="00B94869"/>
    <w:rsid w:val="00B9496C"/>
    <w:rsid w:val="00B94D4A"/>
    <w:rsid w:val="00B95681"/>
    <w:rsid w:val="00B95E74"/>
    <w:rsid w:val="00B97FE4"/>
    <w:rsid w:val="00BA1A6B"/>
    <w:rsid w:val="00BA1DED"/>
    <w:rsid w:val="00BA217A"/>
    <w:rsid w:val="00BA23D9"/>
    <w:rsid w:val="00BA4913"/>
    <w:rsid w:val="00BA5768"/>
    <w:rsid w:val="00BA5E11"/>
    <w:rsid w:val="00BA617C"/>
    <w:rsid w:val="00BA688E"/>
    <w:rsid w:val="00BA6EAF"/>
    <w:rsid w:val="00BA7FD2"/>
    <w:rsid w:val="00BB139E"/>
    <w:rsid w:val="00BB1A5F"/>
    <w:rsid w:val="00BB3587"/>
    <w:rsid w:val="00BB385A"/>
    <w:rsid w:val="00BB3FD1"/>
    <w:rsid w:val="00BB5535"/>
    <w:rsid w:val="00BB7F89"/>
    <w:rsid w:val="00BC0D0B"/>
    <w:rsid w:val="00BC1BF8"/>
    <w:rsid w:val="00BC2B51"/>
    <w:rsid w:val="00BC2CA8"/>
    <w:rsid w:val="00BC5209"/>
    <w:rsid w:val="00BC5682"/>
    <w:rsid w:val="00BC5DD3"/>
    <w:rsid w:val="00BC5E22"/>
    <w:rsid w:val="00BC7D08"/>
    <w:rsid w:val="00BD0368"/>
    <w:rsid w:val="00BD0AF9"/>
    <w:rsid w:val="00BD0FA0"/>
    <w:rsid w:val="00BD100F"/>
    <w:rsid w:val="00BD1710"/>
    <w:rsid w:val="00BD1B91"/>
    <w:rsid w:val="00BD3015"/>
    <w:rsid w:val="00BD4572"/>
    <w:rsid w:val="00BD49F6"/>
    <w:rsid w:val="00BD5596"/>
    <w:rsid w:val="00BD5B22"/>
    <w:rsid w:val="00BD64AE"/>
    <w:rsid w:val="00BD6B16"/>
    <w:rsid w:val="00BD7B9C"/>
    <w:rsid w:val="00BD7BA7"/>
    <w:rsid w:val="00BE0660"/>
    <w:rsid w:val="00BE0720"/>
    <w:rsid w:val="00BE19CD"/>
    <w:rsid w:val="00BE1A0A"/>
    <w:rsid w:val="00BE27FA"/>
    <w:rsid w:val="00BE523F"/>
    <w:rsid w:val="00BE5456"/>
    <w:rsid w:val="00BE786B"/>
    <w:rsid w:val="00BF0D0A"/>
    <w:rsid w:val="00BF1951"/>
    <w:rsid w:val="00BF2D27"/>
    <w:rsid w:val="00BF326E"/>
    <w:rsid w:val="00C00447"/>
    <w:rsid w:val="00C04E8F"/>
    <w:rsid w:val="00C05806"/>
    <w:rsid w:val="00C0717E"/>
    <w:rsid w:val="00C07784"/>
    <w:rsid w:val="00C10601"/>
    <w:rsid w:val="00C106E8"/>
    <w:rsid w:val="00C10A26"/>
    <w:rsid w:val="00C10FC1"/>
    <w:rsid w:val="00C11673"/>
    <w:rsid w:val="00C1195C"/>
    <w:rsid w:val="00C122D6"/>
    <w:rsid w:val="00C1247E"/>
    <w:rsid w:val="00C12618"/>
    <w:rsid w:val="00C12B3D"/>
    <w:rsid w:val="00C14A39"/>
    <w:rsid w:val="00C16CE0"/>
    <w:rsid w:val="00C21735"/>
    <w:rsid w:val="00C22516"/>
    <w:rsid w:val="00C22A3A"/>
    <w:rsid w:val="00C238EF"/>
    <w:rsid w:val="00C23EB4"/>
    <w:rsid w:val="00C24FEF"/>
    <w:rsid w:val="00C26005"/>
    <w:rsid w:val="00C27662"/>
    <w:rsid w:val="00C30079"/>
    <w:rsid w:val="00C33E99"/>
    <w:rsid w:val="00C34758"/>
    <w:rsid w:val="00C35089"/>
    <w:rsid w:val="00C350EE"/>
    <w:rsid w:val="00C40C79"/>
    <w:rsid w:val="00C41921"/>
    <w:rsid w:val="00C4404B"/>
    <w:rsid w:val="00C44AA0"/>
    <w:rsid w:val="00C45AED"/>
    <w:rsid w:val="00C46015"/>
    <w:rsid w:val="00C47CFF"/>
    <w:rsid w:val="00C50C3C"/>
    <w:rsid w:val="00C51A3C"/>
    <w:rsid w:val="00C536DF"/>
    <w:rsid w:val="00C53A28"/>
    <w:rsid w:val="00C53CBC"/>
    <w:rsid w:val="00C54D02"/>
    <w:rsid w:val="00C55C09"/>
    <w:rsid w:val="00C5653D"/>
    <w:rsid w:val="00C56EB3"/>
    <w:rsid w:val="00C57401"/>
    <w:rsid w:val="00C576C4"/>
    <w:rsid w:val="00C600DC"/>
    <w:rsid w:val="00C6029B"/>
    <w:rsid w:val="00C6222D"/>
    <w:rsid w:val="00C624F2"/>
    <w:rsid w:val="00C62F08"/>
    <w:rsid w:val="00C63954"/>
    <w:rsid w:val="00C67FD0"/>
    <w:rsid w:val="00C70D9B"/>
    <w:rsid w:val="00C712A5"/>
    <w:rsid w:val="00C7408E"/>
    <w:rsid w:val="00C74567"/>
    <w:rsid w:val="00C747F3"/>
    <w:rsid w:val="00C75866"/>
    <w:rsid w:val="00C76499"/>
    <w:rsid w:val="00C767DA"/>
    <w:rsid w:val="00C76C3D"/>
    <w:rsid w:val="00C76DC6"/>
    <w:rsid w:val="00C76F18"/>
    <w:rsid w:val="00C77E8A"/>
    <w:rsid w:val="00C81267"/>
    <w:rsid w:val="00C81763"/>
    <w:rsid w:val="00C8248C"/>
    <w:rsid w:val="00C82E2E"/>
    <w:rsid w:val="00C8312F"/>
    <w:rsid w:val="00C832EA"/>
    <w:rsid w:val="00C84612"/>
    <w:rsid w:val="00C85F9F"/>
    <w:rsid w:val="00C860BB"/>
    <w:rsid w:val="00C86401"/>
    <w:rsid w:val="00C8664C"/>
    <w:rsid w:val="00C8673C"/>
    <w:rsid w:val="00C86D15"/>
    <w:rsid w:val="00C87018"/>
    <w:rsid w:val="00C90BCD"/>
    <w:rsid w:val="00C94083"/>
    <w:rsid w:val="00C942F3"/>
    <w:rsid w:val="00C9532E"/>
    <w:rsid w:val="00C9577E"/>
    <w:rsid w:val="00C963DA"/>
    <w:rsid w:val="00C9732C"/>
    <w:rsid w:val="00CA09F5"/>
    <w:rsid w:val="00CA180D"/>
    <w:rsid w:val="00CA2B55"/>
    <w:rsid w:val="00CA330B"/>
    <w:rsid w:val="00CA3EE0"/>
    <w:rsid w:val="00CA4BD9"/>
    <w:rsid w:val="00CA4E60"/>
    <w:rsid w:val="00CA50C1"/>
    <w:rsid w:val="00CA50C5"/>
    <w:rsid w:val="00CA6D91"/>
    <w:rsid w:val="00CA74BC"/>
    <w:rsid w:val="00CA7AE2"/>
    <w:rsid w:val="00CB072F"/>
    <w:rsid w:val="00CB0C07"/>
    <w:rsid w:val="00CB193A"/>
    <w:rsid w:val="00CB2B5E"/>
    <w:rsid w:val="00CB2D52"/>
    <w:rsid w:val="00CB3BD4"/>
    <w:rsid w:val="00CB4E13"/>
    <w:rsid w:val="00CB5229"/>
    <w:rsid w:val="00CB67C7"/>
    <w:rsid w:val="00CB6D41"/>
    <w:rsid w:val="00CB74ED"/>
    <w:rsid w:val="00CB7E81"/>
    <w:rsid w:val="00CC1DEC"/>
    <w:rsid w:val="00CC2C0A"/>
    <w:rsid w:val="00CC4211"/>
    <w:rsid w:val="00CC45F3"/>
    <w:rsid w:val="00CC5918"/>
    <w:rsid w:val="00CC673F"/>
    <w:rsid w:val="00CD0CAA"/>
    <w:rsid w:val="00CD11C5"/>
    <w:rsid w:val="00CD2641"/>
    <w:rsid w:val="00CD4B70"/>
    <w:rsid w:val="00CD5CC1"/>
    <w:rsid w:val="00CD6D21"/>
    <w:rsid w:val="00CE03DB"/>
    <w:rsid w:val="00CE0888"/>
    <w:rsid w:val="00CE0C96"/>
    <w:rsid w:val="00CE0DC3"/>
    <w:rsid w:val="00CE166F"/>
    <w:rsid w:val="00CE25A5"/>
    <w:rsid w:val="00CE2798"/>
    <w:rsid w:val="00CE5738"/>
    <w:rsid w:val="00CE6226"/>
    <w:rsid w:val="00CF02C6"/>
    <w:rsid w:val="00CF112E"/>
    <w:rsid w:val="00CF1A3D"/>
    <w:rsid w:val="00CF1BDC"/>
    <w:rsid w:val="00CF2EEB"/>
    <w:rsid w:val="00CF72CC"/>
    <w:rsid w:val="00D00C8E"/>
    <w:rsid w:val="00D00E92"/>
    <w:rsid w:val="00D027C8"/>
    <w:rsid w:val="00D0439E"/>
    <w:rsid w:val="00D05FC8"/>
    <w:rsid w:val="00D061D0"/>
    <w:rsid w:val="00D07B72"/>
    <w:rsid w:val="00D1070C"/>
    <w:rsid w:val="00D1240D"/>
    <w:rsid w:val="00D13FEF"/>
    <w:rsid w:val="00D14754"/>
    <w:rsid w:val="00D14D8C"/>
    <w:rsid w:val="00D1792A"/>
    <w:rsid w:val="00D20686"/>
    <w:rsid w:val="00D22238"/>
    <w:rsid w:val="00D226E2"/>
    <w:rsid w:val="00D2298A"/>
    <w:rsid w:val="00D23051"/>
    <w:rsid w:val="00D234C9"/>
    <w:rsid w:val="00D23F49"/>
    <w:rsid w:val="00D23F52"/>
    <w:rsid w:val="00D2452B"/>
    <w:rsid w:val="00D24832"/>
    <w:rsid w:val="00D24853"/>
    <w:rsid w:val="00D26332"/>
    <w:rsid w:val="00D266D0"/>
    <w:rsid w:val="00D26AC9"/>
    <w:rsid w:val="00D272B2"/>
    <w:rsid w:val="00D27B83"/>
    <w:rsid w:val="00D306E3"/>
    <w:rsid w:val="00D31C2B"/>
    <w:rsid w:val="00D32D3E"/>
    <w:rsid w:val="00D338F4"/>
    <w:rsid w:val="00D34E80"/>
    <w:rsid w:val="00D35414"/>
    <w:rsid w:val="00D36DC3"/>
    <w:rsid w:val="00D379E6"/>
    <w:rsid w:val="00D4122D"/>
    <w:rsid w:val="00D4152E"/>
    <w:rsid w:val="00D41A21"/>
    <w:rsid w:val="00D44D66"/>
    <w:rsid w:val="00D47309"/>
    <w:rsid w:val="00D50A8A"/>
    <w:rsid w:val="00D512A4"/>
    <w:rsid w:val="00D535E1"/>
    <w:rsid w:val="00D5390F"/>
    <w:rsid w:val="00D53C4F"/>
    <w:rsid w:val="00D53C5B"/>
    <w:rsid w:val="00D53FB6"/>
    <w:rsid w:val="00D544A9"/>
    <w:rsid w:val="00D54843"/>
    <w:rsid w:val="00D54A7B"/>
    <w:rsid w:val="00D5690E"/>
    <w:rsid w:val="00D60CBA"/>
    <w:rsid w:val="00D61D70"/>
    <w:rsid w:val="00D61DB6"/>
    <w:rsid w:val="00D62CC3"/>
    <w:rsid w:val="00D6470F"/>
    <w:rsid w:val="00D6516B"/>
    <w:rsid w:val="00D66755"/>
    <w:rsid w:val="00D67806"/>
    <w:rsid w:val="00D67B01"/>
    <w:rsid w:val="00D70CB5"/>
    <w:rsid w:val="00D71AFD"/>
    <w:rsid w:val="00D73425"/>
    <w:rsid w:val="00D738A1"/>
    <w:rsid w:val="00D767DD"/>
    <w:rsid w:val="00D778CD"/>
    <w:rsid w:val="00D80258"/>
    <w:rsid w:val="00D80DDD"/>
    <w:rsid w:val="00D81619"/>
    <w:rsid w:val="00D829DE"/>
    <w:rsid w:val="00D8577C"/>
    <w:rsid w:val="00D85ACB"/>
    <w:rsid w:val="00D86A6D"/>
    <w:rsid w:val="00D876CD"/>
    <w:rsid w:val="00D9015F"/>
    <w:rsid w:val="00D90E35"/>
    <w:rsid w:val="00D93638"/>
    <w:rsid w:val="00D95CDD"/>
    <w:rsid w:val="00D96DD0"/>
    <w:rsid w:val="00D9708D"/>
    <w:rsid w:val="00DA0F0A"/>
    <w:rsid w:val="00DA12C9"/>
    <w:rsid w:val="00DA12EF"/>
    <w:rsid w:val="00DA2747"/>
    <w:rsid w:val="00DA5869"/>
    <w:rsid w:val="00DA642E"/>
    <w:rsid w:val="00DA66DB"/>
    <w:rsid w:val="00DA68E8"/>
    <w:rsid w:val="00DA6B2E"/>
    <w:rsid w:val="00DA6EBF"/>
    <w:rsid w:val="00DA7786"/>
    <w:rsid w:val="00DA7846"/>
    <w:rsid w:val="00DB034C"/>
    <w:rsid w:val="00DB107D"/>
    <w:rsid w:val="00DB112F"/>
    <w:rsid w:val="00DB1B56"/>
    <w:rsid w:val="00DB1BC0"/>
    <w:rsid w:val="00DB3B17"/>
    <w:rsid w:val="00DB4B75"/>
    <w:rsid w:val="00DB50E3"/>
    <w:rsid w:val="00DB57DB"/>
    <w:rsid w:val="00DB5954"/>
    <w:rsid w:val="00DB6098"/>
    <w:rsid w:val="00DB6588"/>
    <w:rsid w:val="00DB7740"/>
    <w:rsid w:val="00DC0071"/>
    <w:rsid w:val="00DC16A9"/>
    <w:rsid w:val="00DC18E2"/>
    <w:rsid w:val="00DC2441"/>
    <w:rsid w:val="00DC35E7"/>
    <w:rsid w:val="00DC4F0B"/>
    <w:rsid w:val="00DC6106"/>
    <w:rsid w:val="00DC6483"/>
    <w:rsid w:val="00DD03F1"/>
    <w:rsid w:val="00DD18B1"/>
    <w:rsid w:val="00DD1BD0"/>
    <w:rsid w:val="00DD249A"/>
    <w:rsid w:val="00DD2848"/>
    <w:rsid w:val="00DD39CE"/>
    <w:rsid w:val="00DD3C73"/>
    <w:rsid w:val="00DD493D"/>
    <w:rsid w:val="00DD4999"/>
    <w:rsid w:val="00DD50DD"/>
    <w:rsid w:val="00DD73F5"/>
    <w:rsid w:val="00DE02EC"/>
    <w:rsid w:val="00DE0758"/>
    <w:rsid w:val="00DE17A2"/>
    <w:rsid w:val="00DE24F7"/>
    <w:rsid w:val="00DE2D2F"/>
    <w:rsid w:val="00DE499F"/>
    <w:rsid w:val="00DE4E49"/>
    <w:rsid w:val="00DE6A43"/>
    <w:rsid w:val="00DF1399"/>
    <w:rsid w:val="00DF2003"/>
    <w:rsid w:val="00DF2099"/>
    <w:rsid w:val="00DF4182"/>
    <w:rsid w:val="00DF5079"/>
    <w:rsid w:val="00DF5300"/>
    <w:rsid w:val="00DF5689"/>
    <w:rsid w:val="00DF70DD"/>
    <w:rsid w:val="00DF7E7A"/>
    <w:rsid w:val="00E00EED"/>
    <w:rsid w:val="00E010A8"/>
    <w:rsid w:val="00E01C5A"/>
    <w:rsid w:val="00E02980"/>
    <w:rsid w:val="00E0322E"/>
    <w:rsid w:val="00E03429"/>
    <w:rsid w:val="00E03663"/>
    <w:rsid w:val="00E048F9"/>
    <w:rsid w:val="00E06F00"/>
    <w:rsid w:val="00E11247"/>
    <w:rsid w:val="00E11DC0"/>
    <w:rsid w:val="00E16A87"/>
    <w:rsid w:val="00E20A7C"/>
    <w:rsid w:val="00E215D7"/>
    <w:rsid w:val="00E21C66"/>
    <w:rsid w:val="00E22352"/>
    <w:rsid w:val="00E22625"/>
    <w:rsid w:val="00E22BF4"/>
    <w:rsid w:val="00E23916"/>
    <w:rsid w:val="00E2439F"/>
    <w:rsid w:val="00E24B01"/>
    <w:rsid w:val="00E25899"/>
    <w:rsid w:val="00E260FA"/>
    <w:rsid w:val="00E269CA"/>
    <w:rsid w:val="00E27389"/>
    <w:rsid w:val="00E34BDA"/>
    <w:rsid w:val="00E36BB5"/>
    <w:rsid w:val="00E4235A"/>
    <w:rsid w:val="00E425EE"/>
    <w:rsid w:val="00E42B56"/>
    <w:rsid w:val="00E44C6D"/>
    <w:rsid w:val="00E44DF0"/>
    <w:rsid w:val="00E51434"/>
    <w:rsid w:val="00E5188B"/>
    <w:rsid w:val="00E518E3"/>
    <w:rsid w:val="00E53236"/>
    <w:rsid w:val="00E540CF"/>
    <w:rsid w:val="00E54396"/>
    <w:rsid w:val="00E554C9"/>
    <w:rsid w:val="00E61316"/>
    <w:rsid w:val="00E61E96"/>
    <w:rsid w:val="00E62776"/>
    <w:rsid w:val="00E63C4E"/>
    <w:rsid w:val="00E65333"/>
    <w:rsid w:val="00E657E7"/>
    <w:rsid w:val="00E66E01"/>
    <w:rsid w:val="00E673C5"/>
    <w:rsid w:val="00E67A0B"/>
    <w:rsid w:val="00E71661"/>
    <w:rsid w:val="00E71758"/>
    <w:rsid w:val="00E7242F"/>
    <w:rsid w:val="00E73360"/>
    <w:rsid w:val="00E74B24"/>
    <w:rsid w:val="00E74B4C"/>
    <w:rsid w:val="00E74F2D"/>
    <w:rsid w:val="00E764E4"/>
    <w:rsid w:val="00E81490"/>
    <w:rsid w:val="00E81828"/>
    <w:rsid w:val="00E82B65"/>
    <w:rsid w:val="00E83385"/>
    <w:rsid w:val="00E844DD"/>
    <w:rsid w:val="00E845EB"/>
    <w:rsid w:val="00E84F06"/>
    <w:rsid w:val="00E90D2B"/>
    <w:rsid w:val="00E91265"/>
    <w:rsid w:val="00E9332C"/>
    <w:rsid w:val="00E93D77"/>
    <w:rsid w:val="00E95EC7"/>
    <w:rsid w:val="00E96F25"/>
    <w:rsid w:val="00E97A95"/>
    <w:rsid w:val="00EA10AA"/>
    <w:rsid w:val="00EA195A"/>
    <w:rsid w:val="00EA2171"/>
    <w:rsid w:val="00EA21D0"/>
    <w:rsid w:val="00EA3B6A"/>
    <w:rsid w:val="00EA3BAE"/>
    <w:rsid w:val="00EA51B5"/>
    <w:rsid w:val="00EA5C09"/>
    <w:rsid w:val="00EA6871"/>
    <w:rsid w:val="00EA6E88"/>
    <w:rsid w:val="00EA74F6"/>
    <w:rsid w:val="00EA787E"/>
    <w:rsid w:val="00EA7F45"/>
    <w:rsid w:val="00EB1519"/>
    <w:rsid w:val="00EB17B0"/>
    <w:rsid w:val="00EB3882"/>
    <w:rsid w:val="00EB4C6F"/>
    <w:rsid w:val="00EB61C4"/>
    <w:rsid w:val="00EB71C3"/>
    <w:rsid w:val="00EB75F1"/>
    <w:rsid w:val="00EB7DCA"/>
    <w:rsid w:val="00EC0963"/>
    <w:rsid w:val="00EC1753"/>
    <w:rsid w:val="00EC1B2D"/>
    <w:rsid w:val="00EC2FFA"/>
    <w:rsid w:val="00EC3935"/>
    <w:rsid w:val="00EC4A2F"/>
    <w:rsid w:val="00EC5535"/>
    <w:rsid w:val="00EC5669"/>
    <w:rsid w:val="00EC5FEC"/>
    <w:rsid w:val="00EC798E"/>
    <w:rsid w:val="00ED4CDB"/>
    <w:rsid w:val="00ED4F8C"/>
    <w:rsid w:val="00ED51DC"/>
    <w:rsid w:val="00ED5248"/>
    <w:rsid w:val="00ED5500"/>
    <w:rsid w:val="00ED593E"/>
    <w:rsid w:val="00EE1201"/>
    <w:rsid w:val="00EE2930"/>
    <w:rsid w:val="00EE3212"/>
    <w:rsid w:val="00EE48A9"/>
    <w:rsid w:val="00EE4AA0"/>
    <w:rsid w:val="00EE6820"/>
    <w:rsid w:val="00EE6B6F"/>
    <w:rsid w:val="00EE70A5"/>
    <w:rsid w:val="00EE70FD"/>
    <w:rsid w:val="00EE7910"/>
    <w:rsid w:val="00EF177B"/>
    <w:rsid w:val="00EF1AA7"/>
    <w:rsid w:val="00EF25BD"/>
    <w:rsid w:val="00EF3F7E"/>
    <w:rsid w:val="00EF5CEE"/>
    <w:rsid w:val="00EF5F10"/>
    <w:rsid w:val="00EF6422"/>
    <w:rsid w:val="00EF74EF"/>
    <w:rsid w:val="00F0109B"/>
    <w:rsid w:val="00F01AD0"/>
    <w:rsid w:val="00F02D42"/>
    <w:rsid w:val="00F04749"/>
    <w:rsid w:val="00F04D0E"/>
    <w:rsid w:val="00F0555B"/>
    <w:rsid w:val="00F057B1"/>
    <w:rsid w:val="00F06087"/>
    <w:rsid w:val="00F075B5"/>
    <w:rsid w:val="00F07ADD"/>
    <w:rsid w:val="00F10A85"/>
    <w:rsid w:val="00F1248B"/>
    <w:rsid w:val="00F12DA6"/>
    <w:rsid w:val="00F13918"/>
    <w:rsid w:val="00F14CE7"/>
    <w:rsid w:val="00F15F73"/>
    <w:rsid w:val="00F20786"/>
    <w:rsid w:val="00F211C8"/>
    <w:rsid w:val="00F215EF"/>
    <w:rsid w:val="00F2419E"/>
    <w:rsid w:val="00F242C9"/>
    <w:rsid w:val="00F2486A"/>
    <w:rsid w:val="00F24AEC"/>
    <w:rsid w:val="00F257E2"/>
    <w:rsid w:val="00F26CAB"/>
    <w:rsid w:val="00F300AD"/>
    <w:rsid w:val="00F306FB"/>
    <w:rsid w:val="00F3097B"/>
    <w:rsid w:val="00F3298F"/>
    <w:rsid w:val="00F35431"/>
    <w:rsid w:val="00F36725"/>
    <w:rsid w:val="00F41E5B"/>
    <w:rsid w:val="00F4211F"/>
    <w:rsid w:val="00F42C3F"/>
    <w:rsid w:val="00F4394C"/>
    <w:rsid w:val="00F44441"/>
    <w:rsid w:val="00F463C5"/>
    <w:rsid w:val="00F47691"/>
    <w:rsid w:val="00F47C0F"/>
    <w:rsid w:val="00F5361F"/>
    <w:rsid w:val="00F53B85"/>
    <w:rsid w:val="00F5511C"/>
    <w:rsid w:val="00F55D54"/>
    <w:rsid w:val="00F56DE5"/>
    <w:rsid w:val="00F60A3A"/>
    <w:rsid w:val="00F60A63"/>
    <w:rsid w:val="00F61A3E"/>
    <w:rsid w:val="00F63AA7"/>
    <w:rsid w:val="00F65811"/>
    <w:rsid w:val="00F65C92"/>
    <w:rsid w:val="00F67B91"/>
    <w:rsid w:val="00F75872"/>
    <w:rsid w:val="00F75CFF"/>
    <w:rsid w:val="00F773F4"/>
    <w:rsid w:val="00F809F2"/>
    <w:rsid w:val="00F8471B"/>
    <w:rsid w:val="00F84A06"/>
    <w:rsid w:val="00F85036"/>
    <w:rsid w:val="00F85D3E"/>
    <w:rsid w:val="00F85EBE"/>
    <w:rsid w:val="00F902BB"/>
    <w:rsid w:val="00F9044E"/>
    <w:rsid w:val="00F908C3"/>
    <w:rsid w:val="00F90A7A"/>
    <w:rsid w:val="00F90CB1"/>
    <w:rsid w:val="00F94DE2"/>
    <w:rsid w:val="00F95E74"/>
    <w:rsid w:val="00F96725"/>
    <w:rsid w:val="00FA2DCD"/>
    <w:rsid w:val="00FA2FE3"/>
    <w:rsid w:val="00FA33D3"/>
    <w:rsid w:val="00FA376C"/>
    <w:rsid w:val="00FA4532"/>
    <w:rsid w:val="00FA4AE2"/>
    <w:rsid w:val="00FA4D0C"/>
    <w:rsid w:val="00FA5797"/>
    <w:rsid w:val="00FA6C3C"/>
    <w:rsid w:val="00FA6E6A"/>
    <w:rsid w:val="00FA781A"/>
    <w:rsid w:val="00FA7C24"/>
    <w:rsid w:val="00FB0E85"/>
    <w:rsid w:val="00FB3F4B"/>
    <w:rsid w:val="00FB5D20"/>
    <w:rsid w:val="00FB6ED8"/>
    <w:rsid w:val="00FB7B57"/>
    <w:rsid w:val="00FC021B"/>
    <w:rsid w:val="00FC0300"/>
    <w:rsid w:val="00FC1353"/>
    <w:rsid w:val="00FC1A4F"/>
    <w:rsid w:val="00FC24F7"/>
    <w:rsid w:val="00FC4FB8"/>
    <w:rsid w:val="00FD1138"/>
    <w:rsid w:val="00FD1EDC"/>
    <w:rsid w:val="00FD273A"/>
    <w:rsid w:val="00FD3166"/>
    <w:rsid w:val="00FD3A88"/>
    <w:rsid w:val="00FD5095"/>
    <w:rsid w:val="00FD60B7"/>
    <w:rsid w:val="00FD7646"/>
    <w:rsid w:val="00FD7A46"/>
    <w:rsid w:val="00FE08BD"/>
    <w:rsid w:val="00FE3AF6"/>
    <w:rsid w:val="00FE4D65"/>
    <w:rsid w:val="00FE5148"/>
    <w:rsid w:val="00FE51CF"/>
    <w:rsid w:val="00FE5D86"/>
    <w:rsid w:val="00FE70F0"/>
    <w:rsid w:val="00FF1E66"/>
    <w:rsid w:val="00FF27CB"/>
    <w:rsid w:val="00FF2D32"/>
    <w:rsid w:val="00FF5680"/>
    <w:rsid w:val="00FF60E4"/>
    <w:rsid w:val="00FF6F46"/>
    <w:rsid w:val="1C2431B3"/>
    <w:rsid w:val="2B1862B4"/>
    <w:rsid w:val="2F7B21E2"/>
    <w:rsid w:val="334E0556"/>
    <w:rsid w:val="793A37E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unhideWhenUsed="0" w:uiPriority="0" w:semiHidden="0" w:name="toc 5"/>
    <w:lsdException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unhideWhenUsed="0" w:uiPriority="0"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qFormat="1" w:unhideWhenUsed="0" w:uiPriority="0" w:semiHidden="0" w:name="footnote reference"/>
    <w:lsdException w:qFormat="1" w:unhideWhenUsed="0" w:uiPriority="0" w:semiHidden="0" w:name="annotation reference"/>
    <w:lsdException w:uiPriority="0" w:name="line number"/>
    <w:lsdException w:qFormat="1" w:unhideWhenUsed="0" w:uiPriority="0" w:semiHidden="0" w:name="page number"/>
    <w:lsdException w:qFormat="1" w:unhideWhenUsed="0" w:uiPriority="0" w:semiHidden="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qFormat="1" w:unhideWhenUsed="0" w:uiPriority="0" w:semiHidden="0" w:name="List 2"/>
    <w:lsdException w:qFormat="1" w:unhideWhenUsed="0" w:uiPriority="0" w:semiHidden="0" w:name="List 3"/>
    <w:lsdException w:qFormat="1"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unhideWhenUsed="0" w:uiPriority="0" w:semiHidden="0" w:name="Title"/>
    <w:lsdException w:uiPriority="0" w:name="Closing"/>
    <w:lsdException w:uiPriority="0" w:name="Signature"/>
    <w:lsdException w:qFormat="1" w:uiPriority="1" w:name="Default Paragraph Font"/>
    <w:lsdException w:qFormat="1" w:unhideWhenUsed="0" w:uiPriority="99" w:semiHidden="0" w:name="Body Text"/>
    <w:lsdException w:qFormat="1" w:unhideWhenUsed="0" w:uiPriority="0" w:semiHidden="0" w:name="Body Text Indent"/>
    <w:lsdException w:uiPriority="0" w:name="List Continue"/>
    <w:lsdException w:qFormat="1" w:unhideWhenUsed="0" w:uiPriority="0" w:semiHidden="0" w:name="List Continue 2"/>
    <w:lsdException w:unhideWhenUsed="0" w:uiPriority="0" w:semiHidden="0" w:name="List Continue 3"/>
    <w:lsdException w:unhideWhenUsed="0" w:uiPriority="0" w:semiHidden="0" w:name="List Continue 4"/>
    <w:lsdException w:qFormat="1"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unhideWhenUsed="0" w:uiPriority="0" w:semiHidden="0" w:name="Date"/>
    <w:lsdException w:uiPriority="0" w:name="Body Text First Indent"/>
    <w:lsdException w:qFormat="1" w:unhideWhenUsed="0" w:uiPriority="0" w:semiHidden="0" w:name="Body Text First Indent 2"/>
    <w:lsdException w:uiPriority="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pPr>
    <w:rPr>
      <w:rFonts w:ascii="宋体" w:hAnsi="宋体" w:eastAsia="宋体" w:cs="Times New Roman"/>
      <w:kern w:val="2"/>
      <w:sz w:val="24"/>
      <w:lang w:val="en-US" w:eastAsia="zh-CN" w:bidi="ar-SA"/>
    </w:rPr>
  </w:style>
  <w:style w:type="paragraph" w:styleId="2">
    <w:name w:val="heading 1"/>
    <w:basedOn w:val="1"/>
    <w:next w:val="1"/>
    <w:link w:val="80"/>
    <w:qFormat/>
    <w:uiPriority w:val="0"/>
    <w:pPr>
      <w:numPr>
        <w:ilvl w:val="0"/>
        <w:numId w:val="1"/>
      </w:numPr>
      <w:spacing w:beforeLines="50" w:afterLines="50"/>
      <w:jc w:val="center"/>
      <w:outlineLvl w:val="0"/>
    </w:pPr>
    <w:rPr>
      <w:b/>
      <w:bCs/>
      <w:color w:val="000000" w:themeColor="text1"/>
      <w:sz w:val="44"/>
    </w:rPr>
  </w:style>
  <w:style w:type="paragraph" w:styleId="3">
    <w:name w:val="heading 2"/>
    <w:basedOn w:val="1"/>
    <w:next w:val="1"/>
    <w:qFormat/>
    <w:uiPriority w:val="0"/>
    <w:pPr>
      <w:keepNext/>
      <w:keepLines/>
      <w:pageBreakBefore/>
      <w:spacing w:before="120" w:after="120"/>
      <w:jc w:val="center"/>
      <w:outlineLvl w:val="1"/>
    </w:pPr>
    <w:rPr>
      <w:b/>
      <w:bCs/>
      <w:sz w:val="32"/>
      <w:szCs w:val="32"/>
    </w:rPr>
  </w:style>
  <w:style w:type="paragraph" w:styleId="4">
    <w:name w:val="heading 3"/>
    <w:basedOn w:val="1"/>
    <w:next w:val="1"/>
    <w:link w:val="83"/>
    <w:qFormat/>
    <w:uiPriority w:val="0"/>
    <w:pPr>
      <w:numPr>
        <w:ilvl w:val="2"/>
        <w:numId w:val="1"/>
      </w:numPr>
      <w:jc w:val="center"/>
      <w:outlineLvl w:val="2"/>
    </w:pPr>
    <w:rPr>
      <w:b/>
      <w:bCs/>
      <w:sz w:val="28"/>
      <w:szCs w:val="32"/>
    </w:rPr>
  </w:style>
  <w:style w:type="paragraph" w:styleId="5">
    <w:name w:val="heading 4"/>
    <w:basedOn w:val="1"/>
    <w:next w:val="1"/>
    <w:link w:val="84"/>
    <w:qFormat/>
    <w:uiPriority w:val="0"/>
    <w:pPr>
      <w:spacing w:before="60" w:after="60"/>
      <w:outlineLvl w:val="3"/>
    </w:pPr>
    <w:rPr>
      <w:b/>
      <w:bCs/>
      <w:szCs w:val="28"/>
    </w:rPr>
  </w:style>
  <w:style w:type="paragraph" w:styleId="6">
    <w:name w:val="heading 5"/>
    <w:basedOn w:val="1"/>
    <w:next w:val="1"/>
    <w:link w:val="73"/>
    <w:qFormat/>
    <w:uiPriority w:val="0"/>
    <w:pPr>
      <w:spacing w:before="60" w:after="60"/>
      <w:outlineLvl w:val="4"/>
    </w:pPr>
    <w:rPr>
      <w:b/>
      <w:bCs/>
      <w:sz w:val="28"/>
      <w:szCs w:val="28"/>
    </w:rPr>
  </w:style>
  <w:style w:type="paragraph" w:styleId="7">
    <w:name w:val="heading 6"/>
    <w:basedOn w:val="1"/>
    <w:next w:val="1"/>
    <w:qFormat/>
    <w:uiPriority w:val="0"/>
    <w:pPr>
      <w:keepNext/>
      <w:keepLines/>
      <w:numPr>
        <w:ilvl w:val="5"/>
        <w:numId w:val="1"/>
      </w:numPr>
      <w:spacing w:before="240" w:after="64" w:line="317" w:lineRule="auto"/>
      <w:outlineLvl w:val="5"/>
    </w:pPr>
    <w:rPr>
      <w:rFonts w:ascii="Arial" w:hAnsi="Arial" w:eastAsia="黑体"/>
      <w:b/>
      <w:bCs/>
      <w:szCs w:val="24"/>
    </w:rPr>
  </w:style>
  <w:style w:type="paragraph" w:styleId="8">
    <w:name w:val="heading 7"/>
    <w:basedOn w:val="1"/>
    <w:next w:val="1"/>
    <w:qFormat/>
    <w:uiPriority w:val="0"/>
    <w:pPr>
      <w:keepNext/>
      <w:keepLines/>
      <w:numPr>
        <w:ilvl w:val="6"/>
        <w:numId w:val="1"/>
      </w:numPr>
      <w:spacing w:before="240" w:after="64" w:line="317" w:lineRule="auto"/>
      <w:outlineLvl w:val="6"/>
    </w:pPr>
    <w:rPr>
      <w:b/>
      <w:bCs/>
      <w:szCs w:val="24"/>
    </w:rPr>
  </w:style>
  <w:style w:type="paragraph" w:styleId="9">
    <w:name w:val="heading 8"/>
    <w:basedOn w:val="1"/>
    <w:next w:val="1"/>
    <w:qFormat/>
    <w:uiPriority w:val="0"/>
    <w:pPr>
      <w:keepNext/>
      <w:keepLines/>
      <w:numPr>
        <w:ilvl w:val="7"/>
        <w:numId w:val="1"/>
      </w:numPr>
      <w:spacing w:before="240" w:after="64" w:line="317" w:lineRule="auto"/>
      <w:outlineLvl w:val="7"/>
    </w:pPr>
    <w:rPr>
      <w:rFonts w:ascii="Arial" w:hAnsi="Arial" w:eastAsia="黑体"/>
      <w:szCs w:val="24"/>
    </w:rPr>
  </w:style>
  <w:style w:type="paragraph" w:styleId="10">
    <w:name w:val="heading 9"/>
    <w:basedOn w:val="1"/>
    <w:next w:val="1"/>
    <w:qFormat/>
    <w:uiPriority w:val="0"/>
    <w:pPr>
      <w:keepNext/>
      <w:keepLines/>
      <w:numPr>
        <w:ilvl w:val="8"/>
        <w:numId w:val="1"/>
      </w:numPr>
      <w:spacing w:before="240" w:after="64" w:line="317" w:lineRule="auto"/>
      <w:outlineLvl w:val="8"/>
    </w:pPr>
    <w:rPr>
      <w:rFonts w:ascii="Arial" w:hAnsi="Arial" w:eastAsia="黑体"/>
      <w:szCs w:val="21"/>
    </w:rPr>
  </w:style>
  <w:style w:type="character" w:default="1" w:styleId="53">
    <w:name w:val="Default Paragraph Font"/>
    <w:semiHidden/>
    <w:unhideWhenUsed/>
    <w:qFormat/>
    <w:uiPriority w:val="1"/>
  </w:style>
  <w:style w:type="table" w:default="1" w:styleId="51">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ind w:left="100" w:leftChars="400" w:hanging="200" w:hangingChars="200"/>
    </w:pPr>
    <w:rPr>
      <w:sz w:val="28"/>
      <w:szCs w:val="24"/>
    </w:rPr>
  </w:style>
  <w:style w:type="paragraph" w:styleId="12">
    <w:name w:val="toc 7"/>
    <w:basedOn w:val="1"/>
    <w:next w:val="1"/>
    <w:qFormat/>
    <w:uiPriority w:val="0"/>
    <w:pPr>
      <w:ind w:left="2520" w:leftChars="1200"/>
    </w:pPr>
    <w:rPr>
      <w:szCs w:val="24"/>
    </w:rPr>
  </w:style>
  <w:style w:type="paragraph" w:styleId="13">
    <w:name w:val="Normal Indent"/>
    <w:basedOn w:val="1"/>
    <w:link w:val="97"/>
    <w:qFormat/>
    <w:uiPriority w:val="0"/>
    <w:pPr>
      <w:ind w:firstLine="420" w:firstLineChars="200"/>
    </w:pPr>
  </w:style>
  <w:style w:type="paragraph" w:styleId="14">
    <w:name w:val="caption"/>
    <w:basedOn w:val="1"/>
    <w:next w:val="1"/>
    <w:qFormat/>
    <w:uiPriority w:val="0"/>
    <w:pPr>
      <w:adjustRightInd w:val="0"/>
      <w:spacing w:before="152" w:after="160" w:line="360" w:lineRule="atLeast"/>
      <w:textAlignment w:val="baseline"/>
    </w:pPr>
    <w:rPr>
      <w:rFonts w:ascii="Arial" w:hAnsi="Arial" w:eastAsia="黑体"/>
      <w:kern w:val="0"/>
      <w:szCs w:val="24"/>
    </w:rPr>
  </w:style>
  <w:style w:type="paragraph" w:styleId="15">
    <w:name w:val="List Bullet"/>
    <w:basedOn w:val="16"/>
    <w:uiPriority w:val="0"/>
    <w:pPr>
      <w:widowControl/>
      <w:numPr>
        <w:ilvl w:val="1"/>
        <w:numId w:val="2"/>
      </w:numPr>
      <w:spacing w:line="300" w:lineRule="auto"/>
      <w:ind w:firstLine="0"/>
    </w:pPr>
    <w:rPr>
      <w:rFonts w:ascii="宋体" w:hAnsi="宋体" w:eastAsia="幼圆"/>
      <w:spacing w:val="-5"/>
      <w:kern w:val="0"/>
      <w:szCs w:val="24"/>
      <w:lang w:val="zh-CN"/>
    </w:rPr>
  </w:style>
  <w:style w:type="paragraph" w:styleId="16">
    <w:name w:val="List"/>
    <w:basedOn w:val="1"/>
    <w:uiPriority w:val="0"/>
    <w:pPr>
      <w:ind w:left="200" w:hanging="200"/>
    </w:pPr>
    <w:rPr>
      <w:rFonts w:ascii="Century" w:hAnsi="Century"/>
    </w:rPr>
  </w:style>
  <w:style w:type="paragraph" w:styleId="17">
    <w:name w:val="Document Map"/>
    <w:basedOn w:val="1"/>
    <w:link w:val="85"/>
    <w:qFormat/>
    <w:uiPriority w:val="0"/>
    <w:pPr>
      <w:shd w:val="clear" w:color="auto" w:fill="000080"/>
    </w:pPr>
  </w:style>
  <w:style w:type="paragraph" w:styleId="18">
    <w:name w:val="annotation text"/>
    <w:basedOn w:val="1"/>
    <w:link w:val="69"/>
    <w:qFormat/>
    <w:uiPriority w:val="0"/>
  </w:style>
  <w:style w:type="paragraph" w:styleId="19">
    <w:name w:val="Salutation"/>
    <w:basedOn w:val="1"/>
    <w:next w:val="1"/>
    <w:qFormat/>
    <w:uiPriority w:val="0"/>
    <w:rPr>
      <w:sz w:val="28"/>
    </w:rPr>
  </w:style>
  <w:style w:type="paragraph" w:styleId="20">
    <w:name w:val="Body Text 3"/>
    <w:basedOn w:val="1"/>
    <w:link w:val="71"/>
    <w:uiPriority w:val="0"/>
    <w:pPr>
      <w:tabs>
        <w:tab w:val="left" w:pos="735"/>
      </w:tabs>
      <w:spacing w:line="400" w:lineRule="exact"/>
      <w:ind w:right="-108"/>
      <w:jc w:val="center"/>
    </w:pPr>
    <w:rPr>
      <w:rFonts w:ascii="楷体_GB2312" w:eastAsia="楷体_GB2312"/>
    </w:rPr>
  </w:style>
  <w:style w:type="paragraph" w:styleId="21">
    <w:name w:val="Body Text"/>
    <w:basedOn w:val="1"/>
    <w:link w:val="88"/>
    <w:qFormat/>
    <w:uiPriority w:val="99"/>
    <w:rPr>
      <w:sz w:val="28"/>
    </w:rPr>
  </w:style>
  <w:style w:type="paragraph" w:styleId="22">
    <w:name w:val="Body Text Indent"/>
    <w:basedOn w:val="1"/>
    <w:link w:val="92"/>
    <w:qFormat/>
    <w:uiPriority w:val="0"/>
    <w:pPr>
      <w:ind w:right="10" w:firstLine="480"/>
    </w:pPr>
  </w:style>
  <w:style w:type="paragraph" w:styleId="23">
    <w:name w:val="List 2"/>
    <w:basedOn w:val="1"/>
    <w:qFormat/>
    <w:uiPriority w:val="0"/>
    <w:pPr>
      <w:ind w:left="100" w:leftChars="200" w:hanging="200" w:hangingChars="200"/>
    </w:pPr>
    <w:rPr>
      <w:sz w:val="28"/>
      <w:szCs w:val="24"/>
    </w:rPr>
  </w:style>
  <w:style w:type="paragraph" w:styleId="24">
    <w:name w:val="Block Text"/>
    <w:basedOn w:val="1"/>
    <w:qFormat/>
    <w:uiPriority w:val="0"/>
    <w:pPr>
      <w:spacing w:line="580" w:lineRule="exact"/>
      <w:ind w:left="945" w:leftChars="250" w:right="28" w:hanging="420" w:hangingChars="164"/>
    </w:pPr>
    <w:rPr>
      <w:rFonts w:ascii="楷体_GB2312" w:eastAsia="楷体_GB2312"/>
      <w:snapToGrid w:val="0"/>
      <w:spacing w:val="8"/>
      <w:kern w:val="0"/>
    </w:rPr>
  </w:style>
  <w:style w:type="paragraph" w:styleId="25">
    <w:name w:val="toc 5"/>
    <w:basedOn w:val="1"/>
    <w:next w:val="1"/>
    <w:uiPriority w:val="0"/>
    <w:pPr>
      <w:widowControl/>
      <w:ind w:left="800"/>
    </w:pPr>
    <w:rPr>
      <w:kern w:val="0"/>
      <w:szCs w:val="24"/>
    </w:rPr>
  </w:style>
  <w:style w:type="paragraph" w:styleId="26">
    <w:name w:val="toc 3"/>
    <w:basedOn w:val="1"/>
    <w:next w:val="1"/>
    <w:qFormat/>
    <w:uiPriority w:val="39"/>
    <w:pPr>
      <w:widowControl/>
      <w:ind w:left="400" w:right="255"/>
    </w:pPr>
    <w:rPr>
      <w:kern w:val="0"/>
    </w:rPr>
  </w:style>
  <w:style w:type="paragraph" w:styleId="27">
    <w:name w:val="Plain Text"/>
    <w:basedOn w:val="1"/>
    <w:link w:val="94"/>
    <w:qFormat/>
    <w:uiPriority w:val="0"/>
    <w:rPr>
      <w:rFonts w:hAnsi="Courier New" w:cs="Courier New"/>
      <w:szCs w:val="21"/>
    </w:rPr>
  </w:style>
  <w:style w:type="paragraph" w:styleId="28">
    <w:name w:val="toc 8"/>
    <w:basedOn w:val="1"/>
    <w:next w:val="1"/>
    <w:qFormat/>
    <w:uiPriority w:val="0"/>
    <w:pPr>
      <w:ind w:left="2940" w:leftChars="1400"/>
    </w:pPr>
    <w:rPr>
      <w:szCs w:val="24"/>
    </w:rPr>
  </w:style>
  <w:style w:type="paragraph" w:styleId="29">
    <w:name w:val="Date"/>
    <w:basedOn w:val="1"/>
    <w:next w:val="1"/>
    <w:link w:val="68"/>
    <w:uiPriority w:val="0"/>
    <w:pPr>
      <w:ind w:left="100" w:leftChars="2500"/>
    </w:pPr>
    <w:rPr>
      <w:rFonts w:ascii="楷体_GB2312" w:eastAsia="楷体_GB2312"/>
    </w:rPr>
  </w:style>
  <w:style w:type="paragraph" w:styleId="30">
    <w:name w:val="Body Text Indent 2"/>
    <w:basedOn w:val="1"/>
    <w:link w:val="75"/>
    <w:qFormat/>
    <w:uiPriority w:val="0"/>
    <w:pPr>
      <w:spacing w:line="440" w:lineRule="exact"/>
      <w:ind w:firstLine="412"/>
    </w:pPr>
    <w:rPr>
      <w:color w:val="FF0000"/>
    </w:rPr>
  </w:style>
  <w:style w:type="paragraph" w:styleId="31">
    <w:name w:val="List Continue 5"/>
    <w:basedOn w:val="1"/>
    <w:qFormat/>
    <w:uiPriority w:val="0"/>
    <w:pPr>
      <w:spacing w:after="120"/>
      <w:ind w:left="2100" w:leftChars="1000"/>
    </w:pPr>
    <w:rPr>
      <w:sz w:val="28"/>
      <w:szCs w:val="24"/>
    </w:rPr>
  </w:style>
  <w:style w:type="paragraph" w:styleId="32">
    <w:name w:val="Balloon Text"/>
    <w:basedOn w:val="1"/>
    <w:link w:val="65"/>
    <w:uiPriority w:val="0"/>
    <w:rPr>
      <w:sz w:val="18"/>
      <w:szCs w:val="18"/>
    </w:rPr>
  </w:style>
  <w:style w:type="paragraph" w:styleId="33">
    <w:name w:val="footer"/>
    <w:basedOn w:val="1"/>
    <w:link w:val="64"/>
    <w:qFormat/>
    <w:uiPriority w:val="99"/>
    <w:pPr>
      <w:tabs>
        <w:tab w:val="center" w:pos="4153"/>
        <w:tab w:val="right" w:pos="8306"/>
      </w:tabs>
      <w:snapToGrid w:val="0"/>
    </w:pPr>
    <w:rPr>
      <w:sz w:val="18"/>
      <w:szCs w:val="18"/>
    </w:rPr>
  </w:style>
  <w:style w:type="paragraph" w:styleId="34">
    <w:name w:val="header"/>
    <w:basedOn w:val="1"/>
    <w:link w:val="79"/>
    <w:uiPriority w:val="0"/>
    <w:pPr>
      <w:pBdr>
        <w:bottom w:val="single" w:color="auto" w:sz="6" w:space="1"/>
      </w:pBdr>
      <w:tabs>
        <w:tab w:val="center" w:pos="4153"/>
        <w:tab w:val="right" w:pos="8306"/>
      </w:tabs>
      <w:snapToGrid w:val="0"/>
      <w:jc w:val="center"/>
    </w:pPr>
    <w:rPr>
      <w:sz w:val="18"/>
      <w:szCs w:val="18"/>
    </w:rPr>
  </w:style>
  <w:style w:type="paragraph" w:styleId="35">
    <w:name w:val="toc 1"/>
    <w:basedOn w:val="1"/>
    <w:next w:val="1"/>
    <w:qFormat/>
    <w:uiPriority w:val="39"/>
  </w:style>
  <w:style w:type="paragraph" w:styleId="36">
    <w:name w:val="toc 4"/>
    <w:basedOn w:val="1"/>
    <w:next w:val="1"/>
    <w:qFormat/>
    <w:uiPriority w:val="0"/>
    <w:pPr>
      <w:widowControl/>
      <w:ind w:firstLine="480" w:firstLineChars="200"/>
    </w:pPr>
    <w:rPr>
      <w:b/>
      <w:bCs/>
      <w:kern w:val="0"/>
      <w:szCs w:val="21"/>
    </w:rPr>
  </w:style>
  <w:style w:type="paragraph" w:styleId="37">
    <w:name w:val="footnote text"/>
    <w:basedOn w:val="1"/>
    <w:qFormat/>
    <w:uiPriority w:val="0"/>
    <w:pPr>
      <w:adjustRightInd w:val="0"/>
      <w:spacing w:line="312" w:lineRule="atLeast"/>
      <w:textAlignment w:val="baseline"/>
    </w:pPr>
    <w:rPr>
      <w:kern w:val="0"/>
      <w:sz w:val="18"/>
    </w:rPr>
  </w:style>
  <w:style w:type="paragraph" w:styleId="38">
    <w:name w:val="toc 6"/>
    <w:basedOn w:val="1"/>
    <w:next w:val="1"/>
    <w:uiPriority w:val="0"/>
    <w:pPr>
      <w:ind w:left="2100" w:leftChars="1000"/>
    </w:pPr>
  </w:style>
  <w:style w:type="paragraph" w:styleId="39">
    <w:name w:val="List 5"/>
    <w:basedOn w:val="1"/>
    <w:uiPriority w:val="0"/>
    <w:pPr>
      <w:ind w:left="100" w:leftChars="800" w:hanging="200" w:hangingChars="200"/>
    </w:pPr>
    <w:rPr>
      <w:sz w:val="28"/>
      <w:szCs w:val="24"/>
    </w:rPr>
  </w:style>
  <w:style w:type="paragraph" w:styleId="40">
    <w:name w:val="Body Text Indent 3"/>
    <w:basedOn w:val="1"/>
    <w:link w:val="77"/>
    <w:qFormat/>
    <w:uiPriority w:val="0"/>
    <w:pPr>
      <w:spacing w:line="620" w:lineRule="exact"/>
      <w:ind w:firstLine="570"/>
    </w:pPr>
  </w:style>
  <w:style w:type="paragraph" w:styleId="41">
    <w:name w:val="toc 2"/>
    <w:basedOn w:val="1"/>
    <w:next w:val="1"/>
    <w:qFormat/>
    <w:uiPriority w:val="39"/>
    <w:pPr>
      <w:ind w:left="420" w:leftChars="200"/>
    </w:pPr>
  </w:style>
  <w:style w:type="paragraph" w:styleId="42">
    <w:name w:val="toc 9"/>
    <w:basedOn w:val="1"/>
    <w:next w:val="1"/>
    <w:qFormat/>
    <w:uiPriority w:val="0"/>
    <w:pPr>
      <w:ind w:left="3360" w:leftChars="1600"/>
    </w:pPr>
    <w:rPr>
      <w:szCs w:val="24"/>
    </w:rPr>
  </w:style>
  <w:style w:type="paragraph" w:styleId="43">
    <w:name w:val="Body Text 2"/>
    <w:basedOn w:val="1"/>
    <w:link w:val="76"/>
    <w:qFormat/>
    <w:uiPriority w:val="0"/>
  </w:style>
  <w:style w:type="paragraph" w:styleId="44">
    <w:name w:val="List 4"/>
    <w:basedOn w:val="1"/>
    <w:qFormat/>
    <w:uiPriority w:val="0"/>
    <w:pPr>
      <w:ind w:left="100" w:leftChars="600" w:hanging="200" w:hangingChars="200"/>
    </w:pPr>
    <w:rPr>
      <w:sz w:val="28"/>
      <w:szCs w:val="24"/>
    </w:rPr>
  </w:style>
  <w:style w:type="paragraph" w:styleId="45">
    <w:name w:val="List Continue 2"/>
    <w:basedOn w:val="1"/>
    <w:qFormat/>
    <w:uiPriority w:val="0"/>
    <w:pPr>
      <w:spacing w:after="120"/>
      <w:ind w:left="840" w:leftChars="400"/>
    </w:pPr>
    <w:rPr>
      <w:sz w:val="28"/>
      <w:szCs w:val="24"/>
    </w:rPr>
  </w:style>
  <w:style w:type="paragraph" w:styleId="46">
    <w:name w:val="Normal (Web)"/>
    <w:basedOn w:val="1"/>
    <w:uiPriority w:val="99"/>
    <w:pPr>
      <w:widowControl/>
      <w:adjustRightInd w:val="0"/>
      <w:spacing w:before="100" w:beforeAutospacing="1" w:after="100" w:afterAutospacing="1" w:line="360" w:lineRule="atLeast"/>
    </w:pPr>
    <w:rPr>
      <w:rFonts w:hint="eastAsia"/>
      <w:kern w:val="0"/>
      <w:szCs w:val="24"/>
    </w:rPr>
  </w:style>
  <w:style w:type="paragraph" w:styleId="47">
    <w:name w:val="index 1"/>
    <w:basedOn w:val="1"/>
    <w:next w:val="1"/>
    <w:qFormat/>
    <w:uiPriority w:val="0"/>
    <w:pPr>
      <w:autoSpaceDE w:val="0"/>
      <w:autoSpaceDN w:val="0"/>
      <w:adjustRightInd w:val="0"/>
      <w:spacing w:line="256" w:lineRule="atLeast"/>
    </w:pPr>
    <w:rPr>
      <w:rFonts w:ascii="MingLiU" w:eastAsia="MingLiU"/>
      <w:spacing w:val="60"/>
      <w:kern w:val="0"/>
      <w:sz w:val="22"/>
      <w:szCs w:val="24"/>
      <w:lang w:eastAsia="zh-TW"/>
    </w:rPr>
  </w:style>
  <w:style w:type="paragraph" w:styleId="48">
    <w:name w:val="Title"/>
    <w:basedOn w:val="1"/>
    <w:link w:val="72"/>
    <w:uiPriority w:val="0"/>
    <w:pPr>
      <w:pageBreakBefore/>
      <w:widowControl/>
      <w:spacing w:beforeLines="1000" w:afterLines="1000" w:line="240" w:lineRule="atLeast"/>
      <w:jc w:val="center"/>
      <w:outlineLvl w:val="0"/>
    </w:pPr>
    <w:rPr>
      <w:rFonts w:ascii="华文细黑" w:hAnsi="华文细黑" w:eastAsia="华文细黑"/>
      <w:b/>
      <w:bCs/>
      <w:color w:val="000000"/>
      <w:kern w:val="0"/>
      <w:sz w:val="52"/>
      <w:szCs w:val="32"/>
    </w:rPr>
  </w:style>
  <w:style w:type="paragraph" w:styleId="49">
    <w:name w:val="annotation subject"/>
    <w:basedOn w:val="18"/>
    <w:next w:val="18"/>
    <w:link w:val="91"/>
    <w:qFormat/>
    <w:uiPriority w:val="0"/>
    <w:rPr>
      <w:b/>
      <w:bCs/>
    </w:rPr>
  </w:style>
  <w:style w:type="paragraph" w:styleId="50">
    <w:name w:val="Body Text First Indent 2"/>
    <w:basedOn w:val="22"/>
    <w:qFormat/>
    <w:uiPriority w:val="0"/>
    <w:pPr>
      <w:widowControl/>
      <w:numPr>
        <w:ilvl w:val="0"/>
        <w:numId w:val="3"/>
      </w:numPr>
      <w:tabs>
        <w:tab w:val="clear" w:pos="360"/>
      </w:tabs>
      <w:spacing w:after="120" w:line="240" w:lineRule="auto"/>
      <w:ind w:left="420" w:right="0" w:firstLine="210"/>
    </w:pPr>
    <w:rPr>
      <w:rFonts w:ascii="Times New Roman"/>
      <w:kern w:val="0"/>
      <w:sz w:val="20"/>
    </w:rPr>
  </w:style>
  <w:style w:type="table" w:styleId="52">
    <w:name w:val="Table Grid"/>
    <w:basedOn w:val="51"/>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4">
    <w:name w:val="Strong"/>
    <w:qFormat/>
    <w:uiPriority w:val="22"/>
    <w:rPr>
      <w:b/>
      <w:bCs/>
    </w:rPr>
  </w:style>
  <w:style w:type="character" w:styleId="55">
    <w:name w:val="endnote reference"/>
    <w:qFormat/>
    <w:uiPriority w:val="0"/>
    <w:rPr>
      <w:vertAlign w:val="superscript"/>
    </w:rPr>
  </w:style>
  <w:style w:type="character" w:styleId="56">
    <w:name w:val="page number"/>
    <w:basedOn w:val="53"/>
    <w:qFormat/>
    <w:uiPriority w:val="0"/>
  </w:style>
  <w:style w:type="character" w:styleId="57">
    <w:name w:val="FollowedHyperlink"/>
    <w:qFormat/>
    <w:uiPriority w:val="99"/>
    <w:rPr>
      <w:color w:val="800080"/>
      <w:u w:val="single"/>
    </w:rPr>
  </w:style>
  <w:style w:type="character" w:styleId="58">
    <w:name w:val="Emphasis"/>
    <w:qFormat/>
    <w:uiPriority w:val="20"/>
    <w:rPr>
      <w:color w:val="CC0000"/>
    </w:rPr>
  </w:style>
  <w:style w:type="character" w:styleId="59">
    <w:name w:val="Hyperlink"/>
    <w:qFormat/>
    <w:uiPriority w:val="99"/>
    <w:rPr>
      <w:color w:val="0000FF"/>
      <w:u w:val="single"/>
    </w:rPr>
  </w:style>
  <w:style w:type="character" w:styleId="60">
    <w:name w:val="annotation reference"/>
    <w:qFormat/>
    <w:uiPriority w:val="0"/>
    <w:rPr>
      <w:sz w:val="21"/>
      <w:szCs w:val="21"/>
    </w:rPr>
  </w:style>
  <w:style w:type="character" w:styleId="61">
    <w:name w:val="footnote reference"/>
    <w:qFormat/>
    <w:uiPriority w:val="0"/>
    <w:rPr>
      <w:vertAlign w:val="superscript"/>
    </w:rPr>
  </w:style>
  <w:style w:type="character" w:customStyle="1" w:styleId="62">
    <w:name w:val="Char Char Char Char Char Char Char Char Char"/>
    <w:qFormat/>
    <w:uiPriority w:val="0"/>
    <w:rPr>
      <w:rFonts w:ascii="宋体" w:eastAsia="宋体"/>
      <w:sz w:val="24"/>
      <w:lang w:val="en-US" w:eastAsia="zh-CN" w:bidi="ar-SA"/>
    </w:rPr>
  </w:style>
  <w:style w:type="character" w:customStyle="1" w:styleId="63">
    <w:name w:val="Char Char4"/>
    <w:qFormat/>
    <w:locked/>
    <w:uiPriority w:val="0"/>
    <w:rPr>
      <w:rFonts w:ascii="华文细黑" w:hAnsi="华文细黑" w:eastAsia="华文细黑" w:cs="Arial"/>
      <w:b/>
      <w:bCs/>
      <w:color w:val="000000"/>
      <w:sz w:val="52"/>
      <w:szCs w:val="32"/>
      <w:lang w:val="en-US" w:eastAsia="zh-CN" w:bidi="ar-SA"/>
    </w:rPr>
  </w:style>
  <w:style w:type="character" w:customStyle="1" w:styleId="64">
    <w:name w:val="页脚 Char"/>
    <w:link w:val="33"/>
    <w:qFormat/>
    <w:locked/>
    <w:uiPriority w:val="99"/>
    <w:rPr>
      <w:kern w:val="2"/>
      <w:sz w:val="18"/>
      <w:szCs w:val="18"/>
    </w:rPr>
  </w:style>
  <w:style w:type="character" w:customStyle="1" w:styleId="65">
    <w:name w:val="批注框文本 Char"/>
    <w:link w:val="32"/>
    <w:qFormat/>
    <w:locked/>
    <w:uiPriority w:val="0"/>
    <w:rPr>
      <w:kern w:val="2"/>
      <w:sz w:val="18"/>
      <w:szCs w:val="18"/>
    </w:rPr>
  </w:style>
  <w:style w:type="character" w:customStyle="1" w:styleId="66">
    <w:name w:val="列出段落 Char1"/>
    <w:link w:val="67"/>
    <w:qFormat/>
    <w:uiPriority w:val="0"/>
    <w:rPr>
      <w:rFonts w:ascii="Calibri" w:hAnsi="Calibri"/>
      <w:kern w:val="2"/>
      <w:sz w:val="21"/>
      <w:szCs w:val="22"/>
    </w:rPr>
  </w:style>
  <w:style w:type="paragraph" w:styleId="67">
    <w:name w:val="List Paragraph"/>
    <w:basedOn w:val="1"/>
    <w:link w:val="66"/>
    <w:qFormat/>
    <w:uiPriority w:val="34"/>
    <w:pPr>
      <w:ind w:firstLine="420" w:firstLineChars="200"/>
    </w:pPr>
    <w:rPr>
      <w:rFonts w:ascii="Calibri" w:hAnsi="Calibri"/>
      <w:szCs w:val="22"/>
    </w:rPr>
  </w:style>
  <w:style w:type="character" w:customStyle="1" w:styleId="68">
    <w:name w:val="日期 Char"/>
    <w:link w:val="29"/>
    <w:qFormat/>
    <w:uiPriority w:val="0"/>
    <w:rPr>
      <w:rFonts w:ascii="楷体_GB2312" w:eastAsia="楷体_GB2312"/>
      <w:kern w:val="2"/>
      <w:sz w:val="24"/>
      <w:lang w:val="en-US" w:eastAsia="zh-CN" w:bidi="ar-SA"/>
    </w:rPr>
  </w:style>
  <w:style w:type="character" w:customStyle="1" w:styleId="69">
    <w:name w:val="批注文字 Char"/>
    <w:link w:val="18"/>
    <w:qFormat/>
    <w:locked/>
    <w:uiPriority w:val="0"/>
    <w:rPr>
      <w:kern w:val="2"/>
      <w:sz w:val="21"/>
    </w:rPr>
  </w:style>
  <w:style w:type="character" w:customStyle="1" w:styleId="70">
    <w:name w:val="合同标题 Char Char"/>
    <w:qFormat/>
    <w:locked/>
    <w:uiPriority w:val="0"/>
    <w:rPr>
      <w:rFonts w:ascii="黑体" w:eastAsia="黑体"/>
      <w:b/>
      <w:sz w:val="21"/>
      <w:szCs w:val="24"/>
      <w:lang w:val="en-US" w:eastAsia="zh-CN" w:bidi="ar-SA"/>
    </w:rPr>
  </w:style>
  <w:style w:type="character" w:customStyle="1" w:styleId="71">
    <w:name w:val="正文文本 3 Char"/>
    <w:link w:val="20"/>
    <w:qFormat/>
    <w:locked/>
    <w:uiPriority w:val="0"/>
    <w:rPr>
      <w:rFonts w:ascii="楷体_GB2312" w:eastAsia="楷体_GB2312"/>
      <w:kern w:val="2"/>
      <w:sz w:val="21"/>
    </w:rPr>
  </w:style>
  <w:style w:type="character" w:customStyle="1" w:styleId="72">
    <w:name w:val="标题 Char"/>
    <w:link w:val="48"/>
    <w:qFormat/>
    <w:uiPriority w:val="0"/>
    <w:rPr>
      <w:rFonts w:ascii="华文细黑" w:hAnsi="华文细黑" w:eastAsia="华文细黑" w:cs="Arial"/>
      <w:b/>
      <w:bCs/>
      <w:color w:val="000000"/>
      <w:sz w:val="52"/>
      <w:szCs w:val="32"/>
    </w:rPr>
  </w:style>
  <w:style w:type="character" w:customStyle="1" w:styleId="73">
    <w:name w:val="标题 5 Char"/>
    <w:link w:val="6"/>
    <w:qFormat/>
    <w:locked/>
    <w:uiPriority w:val="0"/>
    <w:rPr>
      <w:rFonts w:ascii="宋体" w:hAnsi="宋体"/>
      <w:b/>
      <w:bCs/>
      <w:kern w:val="2"/>
      <w:sz w:val="28"/>
      <w:szCs w:val="28"/>
    </w:rPr>
  </w:style>
  <w:style w:type="character" w:customStyle="1" w:styleId="74">
    <w:name w:val="Char Char11"/>
    <w:qFormat/>
    <w:locked/>
    <w:uiPriority w:val="0"/>
    <w:rPr>
      <w:rFonts w:ascii="宋体" w:eastAsia="宋体"/>
      <w:sz w:val="24"/>
      <w:szCs w:val="24"/>
      <w:lang w:val="en-US" w:eastAsia="zh-CN" w:bidi="ar-SA"/>
    </w:rPr>
  </w:style>
  <w:style w:type="character" w:customStyle="1" w:styleId="75">
    <w:name w:val="正文文本缩进 2 Char"/>
    <w:link w:val="30"/>
    <w:qFormat/>
    <w:locked/>
    <w:uiPriority w:val="0"/>
    <w:rPr>
      <w:rFonts w:ascii="宋体"/>
      <w:color w:val="FF0000"/>
      <w:kern w:val="2"/>
      <w:sz w:val="24"/>
    </w:rPr>
  </w:style>
  <w:style w:type="character" w:customStyle="1" w:styleId="76">
    <w:name w:val="正文文本 2 Char"/>
    <w:link w:val="43"/>
    <w:qFormat/>
    <w:uiPriority w:val="0"/>
    <w:rPr>
      <w:rFonts w:ascii="宋体" w:eastAsia="宋体"/>
      <w:kern w:val="2"/>
      <w:sz w:val="24"/>
      <w:lang w:val="en-US" w:eastAsia="zh-CN" w:bidi="ar-SA"/>
    </w:rPr>
  </w:style>
  <w:style w:type="character" w:customStyle="1" w:styleId="77">
    <w:name w:val="正文文本缩进 3 Char"/>
    <w:link w:val="40"/>
    <w:qFormat/>
    <w:locked/>
    <w:uiPriority w:val="0"/>
    <w:rPr>
      <w:rFonts w:ascii="宋体"/>
      <w:kern w:val="2"/>
      <w:sz w:val="24"/>
    </w:rPr>
  </w:style>
  <w:style w:type="character" w:customStyle="1" w:styleId="78">
    <w:name w:val="Char Char"/>
    <w:qFormat/>
    <w:locked/>
    <w:uiPriority w:val="0"/>
    <w:rPr>
      <w:rFonts w:ascii="宋体" w:eastAsia="宋体"/>
      <w:b/>
      <w:bCs/>
      <w:sz w:val="24"/>
      <w:szCs w:val="24"/>
      <w:lang w:val="en-US" w:eastAsia="zh-CN" w:bidi="ar-SA"/>
    </w:rPr>
  </w:style>
  <w:style w:type="character" w:customStyle="1" w:styleId="79">
    <w:name w:val="页眉 Char"/>
    <w:link w:val="34"/>
    <w:qFormat/>
    <w:locked/>
    <w:uiPriority w:val="0"/>
    <w:rPr>
      <w:kern w:val="2"/>
      <w:sz w:val="18"/>
      <w:szCs w:val="18"/>
    </w:rPr>
  </w:style>
  <w:style w:type="character" w:customStyle="1" w:styleId="80">
    <w:name w:val="标题 1 Char"/>
    <w:link w:val="2"/>
    <w:qFormat/>
    <w:locked/>
    <w:uiPriority w:val="0"/>
    <w:rPr>
      <w:rFonts w:ascii="宋体" w:hAnsi="宋体"/>
      <w:b/>
      <w:bCs/>
      <w:color w:val="000000" w:themeColor="text1"/>
      <w:kern w:val="2"/>
      <w:sz w:val="44"/>
    </w:rPr>
  </w:style>
  <w:style w:type="character" w:customStyle="1" w:styleId="81">
    <w:name w:val="标题 2 Char"/>
    <w:qFormat/>
    <w:uiPriority w:val="0"/>
    <w:rPr>
      <w:sz w:val="28"/>
    </w:rPr>
  </w:style>
  <w:style w:type="character" w:customStyle="1" w:styleId="82">
    <w:name w:val="Char Char3"/>
    <w:qFormat/>
    <w:locked/>
    <w:uiPriority w:val="0"/>
    <w:rPr>
      <w:rFonts w:eastAsia="宋体"/>
      <w:sz w:val="24"/>
      <w:lang w:val="en-US" w:eastAsia="zh-CN" w:bidi="ar-SA"/>
    </w:rPr>
  </w:style>
  <w:style w:type="character" w:customStyle="1" w:styleId="83">
    <w:name w:val="标题 3 Char"/>
    <w:link w:val="4"/>
    <w:qFormat/>
    <w:locked/>
    <w:uiPriority w:val="0"/>
    <w:rPr>
      <w:rFonts w:ascii="宋体" w:hAnsi="宋体"/>
      <w:b/>
      <w:bCs/>
      <w:kern w:val="2"/>
      <w:sz w:val="28"/>
      <w:szCs w:val="32"/>
    </w:rPr>
  </w:style>
  <w:style w:type="character" w:customStyle="1" w:styleId="84">
    <w:name w:val="标题 4 Char"/>
    <w:link w:val="5"/>
    <w:qFormat/>
    <w:locked/>
    <w:uiPriority w:val="0"/>
    <w:rPr>
      <w:rFonts w:ascii="宋体" w:hAnsi="宋体"/>
      <w:b/>
      <w:bCs/>
      <w:kern w:val="2"/>
      <w:sz w:val="24"/>
      <w:szCs w:val="28"/>
    </w:rPr>
  </w:style>
  <w:style w:type="character" w:customStyle="1" w:styleId="85">
    <w:name w:val="文档结构图 Char"/>
    <w:link w:val="17"/>
    <w:qFormat/>
    <w:locked/>
    <w:uiPriority w:val="0"/>
    <w:rPr>
      <w:kern w:val="2"/>
      <w:sz w:val="21"/>
      <w:shd w:val="clear" w:color="auto" w:fill="000080"/>
    </w:rPr>
  </w:style>
  <w:style w:type="character" w:customStyle="1" w:styleId="86">
    <w:name w:val="Char Char5"/>
    <w:qFormat/>
    <w:locked/>
    <w:uiPriority w:val="0"/>
    <w:rPr>
      <w:rFonts w:ascii="宋体" w:eastAsia="宋体"/>
      <w:sz w:val="24"/>
      <w:szCs w:val="24"/>
      <w:lang w:val="en-US" w:eastAsia="zh-CN" w:bidi="ar-SA"/>
    </w:rPr>
  </w:style>
  <w:style w:type="character" w:customStyle="1" w:styleId="87">
    <w:name w:val="f14b1"/>
    <w:qFormat/>
    <w:uiPriority w:val="0"/>
    <w:rPr>
      <w:b/>
      <w:bCs/>
      <w:sz w:val="21"/>
      <w:szCs w:val="21"/>
    </w:rPr>
  </w:style>
  <w:style w:type="character" w:customStyle="1" w:styleId="88">
    <w:name w:val="正文文本 Char"/>
    <w:link w:val="21"/>
    <w:qFormat/>
    <w:locked/>
    <w:uiPriority w:val="0"/>
    <w:rPr>
      <w:kern w:val="2"/>
      <w:sz w:val="28"/>
    </w:rPr>
  </w:style>
  <w:style w:type="character" w:customStyle="1" w:styleId="89">
    <w:name w:val="15"/>
    <w:qFormat/>
    <w:uiPriority w:val="0"/>
    <w:rPr>
      <w:rFonts w:hint="default" w:ascii="Times New Roman" w:hAnsi="Times New Roman" w:cs="Times New Roman"/>
      <w:color w:val="0000FF"/>
      <w:u w:val="single"/>
    </w:rPr>
  </w:style>
  <w:style w:type="character" w:customStyle="1" w:styleId="90">
    <w:name w:val="middle1"/>
    <w:qFormat/>
    <w:uiPriority w:val="0"/>
    <w:rPr>
      <w:rFonts w:hint="default"/>
      <w:sz w:val="21"/>
      <w:szCs w:val="21"/>
    </w:rPr>
  </w:style>
  <w:style w:type="character" w:customStyle="1" w:styleId="91">
    <w:name w:val="批注主题 Char"/>
    <w:link w:val="49"/>
    <w:qFormat/>
    <w:locked/>
    <w:uiPriority w:val="0"/>
    <w:rPr>
      <w:b/>
      <w:bCs/>
      <w:kern w:val="2"/>
      <w:sz w:val="21"/>
    </w:rPr>
  </w:style>
  <w:style w:type="character" w:customStyle="1" w:styleId="92">
    <w:name w:val="正文文本缩进 Char"/>
    <w:link w:val="22"/>
    <w:qFormat/>
    <w:locked/>
    <w:uiPriority w:val="0"/>
    <w:rPr>
      <w:rFonts w:ascii="宋体"/>
      <w:kern w:val="2"/>
      <w:sz w:val="24"/>
    </w:rPr>
  </w:style>
  <w:style w:type="character" w:customStyle="1" w:styleId="93">
    <w:name w:val="Char Char7"/>
    <w:qFormat/>
    <w:locked/>
    <w:uiPriority w:val="0"/>
    <w:rPr>
      <w:rFonts w:ascii="宋体" w:hAnsi="宋体" w:eastAsia="宋体"/>
      <w:b/>
      <w:sz w:val="24"/>
      <w:szCs w:val="24"/>
      <w:lang w:val="en-US" w:eastAsia="zh-CN" w:bidi="ar-SA"/>
    </w:rPr>
  </w:style>
  <w:style w:type="character" w:customStyle="1" w:styleId="94">
    <w:name w:val="纯文本 Char"/>
    <w:link w:val="27"/>
    <w:qFormat/>
    <w:uiPriority w:val="0"/>
    <w:rPr>
      <w:rFonts w:ascii="宋体" w:hAnsi="Courier New" w:eastAsia="宋体" w:cs="Courier New"/>
      <w:kern w:val="2"/>
      <w:sz w:val="24"/>
      <w:szCs w:val="21"/>
      <w:lang w:val="en-US" w:eastAsia="zh-CN" w:bidi="ar-SA"/>
    </w:rPr>
  </w:style>
  <w:style w:type="character" w:customStyle="1" w:styleId="95">
    <w:name w:val="Para head"/>
    <w:qFormat/>
    <w:uiPriority w:val="0"/>
    <w:rPr>
      <w:rFonts w:ascii="Arial" w:hAnsi="Arial" w:eastAsia="Times New Roman"/>
      <w:sz w:val="20"/>
    </w:rPr>
  </w:style>
  <w:style w:type="character" w:customStyle="1" w:styleId="96">
    <w:name w:val="Char Char6"/>
    <w:qFormat/>
    <w:locked/>
    <w:uiPriority w:val="0"/>
    <w:rPr>
      <w:rFonts w:eastAsia="宋体"/>
      <w:kern w:val="2"/>
      <w:sz w:val="21"/>
      <w:szCs w:val="24"/>
      <w:lang w:val="en-US" w:eastAsia="zh-CN" w:bidi="ar-SA"/>
    </w:rPr>
  </w:style>
  <w:style w:type="character" w:customStyle="1" w:styleId="97">
    <w:name w:val="正文缩进 Char"/>
    <w:link w:val="13"/>
    <w:qFormat/>
    <w:uiPriority w:val="0"/>
    <w:rPr>
      <w:rFonts w:eastAsia="宋体"/>
      <w:kern w:val="2"/>
      <w:sz w:val="24"/>
      <w:lang w:val="en-US" w:eastAsia="zh-CN" w:bidi="ar-SA"/>
    </w:rPr>
  </w:style>
  <w:style w:type="paragraph" w:customStyle="1" w:styleId="98">
    <w:name w:val="菲页(卷)"/>
    <w:basedOn w:val="2"/>
    <w:next w:val="99"/>
    <w:qFormat/>
    <w:uiPriority w:val="0"/>
    <w:pPr>
      <w:widowControl/>
      <w:numPr>
        <w:numId w:val="0"/>
      </w:numPr>
      <w:spacing w:line="240" w:lineRule="auto"/>
      <w:ind w:left="432" w:hanging="432"/>
      <w:outlineLvl w:val="1"/>
    </w:pPr>
    <w:rPr>
      <w:rFonts w:hint="eastAsia" w:ascii="黑体" w:eastAsia="黑体"/>
      <w:b w:val="0"/>
      <w:bCs w:val="0"/>
      <w:color w:val="auto"/>
      <w:kern w:val="0"/>
      <w:sz w:val="52"/>
    </w:rPr>
  </w:style>
  <w:style w:type="paragraph" w:customStyle="1" w:styleId="99">
    <w:name w:val="正文1"/>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100">
    <w:name w:val="菲页1"/>
    <w:basedOn w:val="3"/>
    <w:qFormat/>
    <w:uiPriority w:val="0"/>
    <w:pPr>
      <w:widowControl/>
      <w:spacing w:line="240" w:lineRule="auto"/>
    </w:pPr>
    <w:rPr>
      <w:rFonts w:ascii="黑体"/>
      <w:b w:val="0"/>
      <w:kern w:val="0"/>
      <w:sz w:val="52"/>
      <w:szCs w:val="44"/>
    </w:rPr>
  </w:style>
  <w:style w:type="paragraph" w:customStyle="1" w:styleId="101">
    <w:name w:val="font8"/>
    <w:basedOn w:val="1"/>
    <w:uiPriority w:val="0"/>
    <w:pPr>
      <w:widowControl/>
      <w:spacing w:before="100" w:beforeAutospacing="1" w:after="100" w:afterAutospacing="1"/>
    </w:pPr>
    <w:rPr>
      <w:rFonts w:eastAsia="Arial Unicode MS"/>
      <w:kern w:val="0"/>
      <w:sz w:val="30"/>
      <w:szCs w:val="30"/>
    </w:rPr>
  </w:style>
  <w:style w:type="paragraph" w:customStyle="1" w:styleId="102">
    <w:name w:val="font6"/>
    <w:basedOn w:val="1"/>
    <w:qFormat/>
    <w:uiPriority w:val="0"/>
    <w:pPr>
      <w:widowControl/>
      <w:spacing w:before="100" w:beforeAutospacing="1" w:after="100" w:afterAutospacing="1"/>
    </w:pPr>
    <w:rPr>
      <w:rFonts w:eastAsia="Arial Unicode MS"/>
      <w:kern w:val="0"/>
      <w:sz w:val="26"/>
      <w:szCs w:val="26"/>
    </w:rPr>
  </w:style>
  <w:style w:type="paragraph" w:customStyle="1" w:styleId="103">
    <w:name w:val="样式1"/>
    <w:basedOn w:val="1"/>
    <w:qFormat/>
    <w:uiPriority w:val="0"/>
    <w:pPr>
      <w:spacing w:before="120" w:after="120" w:line="300" w:lineRule="auto"/>
    </w:pPr>
    <w:rPr>
      <w:rFonts w:hint="eastAsia"/>
      <w:b/>
    </w:rPr>
  </w:style>
  <w:style w:type="paragraph" w:customStyle="1" w:styleId="104">
    <w:name w:val="xl3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30"/>
      <w:szCs w:val="30"/>
    </w:rPr>
  </w:style>
  <w:style w:type="paragraph" w:customStyle="1" w:styleId="105">
    <w:name w:val="xl43"/>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6"/>
      <w:szCs w:val="26"/>
    </w:rPr>
  </w:style>
  <w:style w:type="paragraph" w:customStyle="1" w:styleId="106">
    <w:name w:val="Char Char Char Char"/>
    <w:basedOn w:val="1"/>
    <w:qFormat/>
    <w:uiPriority w:val="0"/>
    <w:pPr>
      <w:widowControl/>
      <w:spacing w:after="160" w:line="240" w:lineRule="exact"/>
    </w:pPr>
    <w:rPr>
      <w:rFonts w:ascii="Arial" w:hAnsi="Arial" w:eastAsia="Times New Roman" w:cs="Verdana"/>
      <w:b/>
      <w:kern w:val="0"/>
      <w:lang w:eastAsia="en-US"/>
    </w:rPr>
  </w:style>
  <w:style w:type="paragraph" w:customStyle="1" w:styleId="107">
    <w:name w:val="Char1 Char Char Char Char Char Char"/>
    <w:basedOn w:val="1"/>
    <w:uiPriority w:val="0"/>
    <w:rPr>
      <w:rFonts w:ascii="Tahoma" w:hAnsi="Tahoma"/>
    </w:rPr>
  </w:style>
  <w:style w:type="paragraph" w:customStyle="1" w:styleId="108">
    <w:name w:val="."/>
    <w:basedOn w:val="1"/>
    <w:qFormat/>
    <w:uiPriority w:val="0"/>
    <w:pPr>
      <w:widowControl/>
      <w:numPr>
        <w:ilvl w:val="0"/>
        <w:numId w:val="4"/>
      </w:numPr>
    </w:pPr>
    <w:rPr>
      <w:kern w:val="0"/>
      <w:sz w:val="20"/>
    </w:rPr>
  </w:style>
  <w:style w:type="paragraph" w:customStyle="1" w:styleId="109">
    <w:name w:val="xl40"/>
    <w:basedOn w:val="1"/>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textAlignment w:val="center"/>
    </w:pPr>
    <w:rPr>
      <w:rFonts w:ascii="Arial Unicode MS" w:hAnsi="Arial Unicode MS" w:eastAsia="Arial Unicode MS" w:cs="Arial Unicode MS"/>
      <w:color w:val="000000"/>
      <w:kern w:val="0"/>
      <w:szCs w:val="21"/>
    </w:rPr>
  </w:style>
  <w:style w:type="paragraph" w:customStyle="1" w:styleId="110">
    <w:name w:val="font9"/>
    <w:basedOn w:val="1"/>
    <w:qFormat/>
    <w:uiPriority w:val="0"/>
    <w:pPr>
      <w:widowControl/>
      <w:spacing w:before="100" w:beforeAutospacing="1" w:after="100" w:afterAutospacing="1"/>
    </w:pPr>
    <w:rPr>
      <w:rFonts w:hint="eastAsia" w:cs="Arial Unicode MS"/>
      <w:kern w:val="0"/>
      <w:sz w:val="30"/>
      <w:szCs w:val="30"/>
    </w:rPr>
  </w:style>
  <w:style w:type="paragraph" w:customStyle="1" w:styleId="111">
    <w:name w:val="样式 标题 2 + (西文) 方正书宋简体 (中文) 方正黑体简体 非加粗 黑色 行距: 固定值 15 磅2"/>
    <w:basedOn w:val="3"/>
    <w:qFormat/>
    <w:uiPriority w:val="0"/>
    <w:pPr>
      <w:spacing w:before="0" w:after="0" w:line="300" w:lineRule="exact"/>
      <w:ind w:firstLine="200" w:firstLineChars="200"/>
      <w:jc w:val="left"/>
    </w:pPr>
    <w:rPr>
      <w:rFonts w:ascii="方正书宋简体" w:eastAsia="方正小标宋简体" w:cs="宋体"/>
      <w:b w:val="0"/>
      <w:bCs w:val="0"/>
      <w:color w:val="000000"/>
      <w:sz w:val="21"/>
      <w:szCs w:val="20"/>
    </w:rPr>
  </w:style>
  <w:style w:type="paragraph" w:customStyle="1" w:styleId="112">
    <w:name w:val="xl3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Arial Unicode MS" w:hAnsi="Arial Unicode MS" w:eastAsia="Arial Unicode MS" w:cs="Arial Unicode MS"/>
      <w:kern w:val="0"/>
      <w:sz w:val="36"/>
      <w:szCs w:val="36"/>
    </w:rPr>
  </w:style>
  <w:style w:type="paragraph" w:customStyle="1" w:styleId="113">
    <w:name w:val="xl2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top"/>
    </w:pPr>
    <w:rPr>
      <w:rFonts w:eastAsia="Arial Unicode MS"/>
      <w:kern w:val="0"/>
      <w:szCs w:val="21"/>
    </w:rPr>
  </w:style>
  <w:style w:type="paragraph" w:customStyle="1" w:styleId="114">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eastAsia="Arial Unicode MS"/>
      <w:kern w:val="0"/>
      <w:sz w:val="26"/>
      <w:szCs w:val="26"/>
    </w:rPr>
  </w:style>
  <w:style w:type="paragraph" w:customStyle="1" w:styleId="115">
    <w:name w:val="标准段"/>
    <w:basedOn w:val="1"/>
    <w:qFormat/>
    <w:uiPriority w:val="0"/>
    <w:pPr>
      <w:widowControl/>
      <w:overflowPunct w:val="0"/>
      <w:autoSpaceDE w:val="0"/>
      <w:adjustRightInd w:val="0"/>
      <w:snapToGrid w:val="0"/>
      <w:spacing w:before="100" w:after="100"/>
      <w:ind w:left="718" w:right="26"/>
      <w:textAlignment w:val="baseline"/>
    </w:pPr>
    <w:rPr>
      <w:color w:val="000000"/>
      <w:kern w:val="0"/>
    </w:rPr>
  </w:style>
  <w:style w:type="paragraph" w:customStyle="1" w:styleId="116">
    <w:name w:val="Blockquote"/>
    <w:basedOn w:val="1"/>
    <w:qFormat/>
    <w:uiPriority w:val="0"/>
    <w:pPr>
      <w:autoSpaceDE w:val="0"/>
      <w:autoSpaceDN w:val="0"/>
      <w:adjustRightInd w:val="0"/>
      <w:spacing w:before="100" w:after="100"/>
      <w:ind w:left="250" w:right="720"/>
    </w:pPr>
    <w:rPr>
      <w:color w:val="000080"/>
      <w:kern w:val="0"/>
      <w:u w:val="single"/>
    </w:rPr>
  </w:style>
  <w:style w:type="paragraph" w:customStyle="1" w:styleId="117">
    <w:name w:val="font7"/>
    <w:basedOn w:val="1"/>
    <w:uiPriority w:val="0"/>
    <w:pPr>
      <w:widowControl/>
      <w:spacing w:before="100" w:beforeAutospacing="1" w:after="100" w:afterAutospacing="1"/>
    </w:pPr>
    <w:rPr>
      <w:rFonts w:hint="eastAsia" w:cs="Arial Unicode MS"/>
      <w:kern w:val="0"/>
      <w:sz w:val="26"/>
      <w:szCs w:val="26"/>
    </w:rPr>
  </w:style>
  <w:style w:type="paragraph" w:customStyle="1" w:styleId="118">
    <w:name w:val="font12"/>
    <w:basedOn w:val="1"/>
    <w:uiPriority w:val="0"/>
    <w:pPr>
      <w:widowControl/>
      <w:spacing w:before="100" w:beforeAutospacing="1" w:after="100" w:afterAutospacing="1"/>
    </w:pPr>
    <w:rPr>
      <w:rFonts w:hint="eastAsia" w:cs="Arial Unicode MS"/>
      <w:b/>
      <w:bCs/>
      <w:color w:val="000000"/>
      <w:kern w:val="0"/>
      <w:sz w:val="20"/>
    </w:rPr>
  </w:style>
  <w:style w:type="paragraph" w:customStyle="1" w:styleId="119">
    <w:name w:val="xl2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6"/>
      <w:szCs w:val="26"/>
    </w:rPr>
  </w:style>
  <w:style w:type="paragraph" w:customStyle="1" w:styleId="120">
    <w:name w:val="xl48"/>
    <w:basedOn w:val="1"/>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6"/>
      <w:szCs w:val="26"/>
    </w:rPr>
  </w:style>
  <w:style w:type="paragraph" w:customStyle="1" w:styleId="121">
    <w:name w:val="Char"/>
    <w:basedOn w:val="1"/>
    <w:uiPriority w:val="0"/>
    <w:pPr>
      <w:widowControl/>
      <w:spacing w:after="160" w:line="240" w:lineRule="exact"/>
    </w:pPr>
    <w:rPr>
      <w:rFonts w:ascii="Verdana" w:hAnsi="Verdana"/>
      <w:kern w:val="0"/>
      <w:sz w:val="20"/>
      <w:lang w:eastAsia="en-US"/>
    </w:rPr>
  </w:style>
  <w:style w:type="paragraph" w:customStyle="1" w:styleId="122">
    <w:name w:val="font10"/>
    <w:basedOn w:val="1"/>
    <w:uiPriority w:val="0"/>
    <w:pPr>
      <w:widowControl/>
      <w:spacing w:before="100" w:beforeAutospacing="1" w:after="100" w:afterAutospacing="1"/>
    </w:pPr>
    <w:rPr>
      <w:rFonts w:eastAsia="Arial Unicode MS"/>
      <w:color w:val="000000"/>
      <w:kern w:val="0"/>
      <w:szCs w:val="21"/>
    </w:rPr>
  </w:style>
  <w:style w:type="paragraph" w:customStyle="1" w:styleId="123">
    <w:name w:val="xl31"/>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30"/>
      <w:szCs w:val="30"/>
    </w:rPr>
  </w:style>
  <w:style w:type="paragraph" w:customStyle="1" w:styleId="124">
    <w:name w:val="xl39"/>
    <w:basedOn w:val="1"/>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textAlignment w:val="center"/>
    </w:pPr>
    <w:rPr>
      <w:rFonts w:ascii="Arial Unicode MS" w:hAnsi="Arial Unicode MS" w:eastAsia="Arial Unicode MS" w:cs="Arial Unicode MS"/>
      <w:color w:val="000000"/>
      <w:kern w:val="0"/>
      <w:szCs w:val="21"/>
    </w:rPr>
  </w:style>
  <w:style w:type="paragraph" w:customStyle="1" w:styleId="125">
    <w:name w:val="font5"/>
    <w:basedOn w:val="1"/>
    <w:uiPriority w:val="0"/>
    <w:pPr>
      <w:widowControl/>
      <w:spacing w:before="100" w:beforeAutospacing="1" w:after="100" w:afterAutospacing="1"/>
    </w:pPr>
    <w:rPr>
      <w:rFonts w:hint="eastAsia" w:cs="Arial Unicode MS"/>
      <w:kern w:val="0"/>
      <w:sz w:val="18"/>
      <w:szCs w:val="18"/>
    </w:rPr>
  </w:style>
  <w:style w:type="paragraph" w:customStyle="1" w:styleId="126">
    <w:name w:val="样式 标题 2 + (西文) 方正书宋简体 (中文) 方正黑体简体 非加粗 黑色 行距: 固定值 15 磅1"/>
    <w:basedOn w:val="3"/>
    <w:uiPriority w:val="0"/>
    <w:pPr>
      <w:spacing w:before="0" w:after="0" w:line="300" w:lineRule="exact"/>
      <w:jc w:val="left"/>
    </w:pPr>
    <w:rPr>
      <w:rFonts w:ascii="方正书宋简体" w:eastAsia="方正小标宋简体" w:cs="宋体"/>
      <w:b w:val="0"/>
      <w:bCs w:val="0"/>
      <w:color w:val="000000"/>
      <w:sz w:val="21"/>
      <w:szCs w:val="20"/>
    </w:rPr>
  </w:style>
  <w:style w:type="paragraph" w:customStyle="1" w:styleId="127">
    <w:name w:val="font11"/>
    <w:basedOn w:val="1"/>
    <w:uiPriority w:val="0"/>
    <w:pPr>
      <w:widowControl/>
      <w:spacing w:before="100" w:beforeAutospacing="1" w:after="100" w:afterAutospacing="1"/>
    </w:pPr>
    <w:rPr>
      <w:rFonts w:hint="eastAsia" w:cs="Arial Unicode MS"/>
      <w:color w:val="000000"/>
      <w:kern w:val="0"/>
      <w:sz w:val="20"/>
    </w:rPr>
  </w:style>
  <w:style w:type="paragraph" w:customStyle="1" w:styleId="128">
    <w:name w:val="xl2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cs="Arial Unicode MS"/>
      <w:kern w:val="0"/>
      <w:sz w:val="26"/>
      <w:szCs w:val="26"/>
    </w:rPr>
  </w:style>
  <w:style w:type="paragraph" w:customStyle="1" w:styleId="129">
    <w:name w:val="1111 Char Char Char Char"/>
    <w:basedOn w:val="1"/>
    <w:uiPriority w:val="0"/>
    <w:pPr>
      <w:ind w:firstLine="560" w:firstLineChars="200"/>
    </w:pPr>
  </w:style>
  <w:style w:type="paragraph" w:customStyle="1" w:styleId="130">
    <w:name w:val="一"/>
    <w:basedOn w:val="1"/>
    <w:uiPriority w:val="0"/>
    <w:pPr>
      <w:numPr>
        <w:ilvl w:val="0"/>
        <w:numId w:val="5"/>
      </w:numPr>
    </w:pPr>
    <w:rPr>
      <w:rFonts w:eastAsia="黑体"/>
      <w:b/>
    </w:rPr>
  </w:style>
  <w:style w:type="paragraph" w:customStyle="1" w:styleId="131">
    <w:name w:val="纯文本1"/>
    <w:basedOn w:val="1"/>
    <w:uiPriority w:val="0"/>
    <w:pPr>
      <w:adjustRightInd w:val="0"/>
    </w:pPr>
  </w:style>
  <w:style w:type="paragraph" w:customStyle="1" w:styleId="132">
    <w:name w:val="默认段落字体 Para Char Char Char Char Char Char Char Char Char Char"/>
    <w:basedOn w:val="1"/>
    <w:qFormat/>
    <w:uiPriority w:val="0"/>
    <w:rPr>
      <w:rFonts w:ascii="Tahoma" w:hAnsi="Tahoma"/>
    </w:rPr>
  </w:style>
  <w:style w:type="paragraph" w:customStyle="1" w:styleId="133">
    <w:name w:val="xl2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6"/>
      <w:szCs w:val="26"/>
    </w:rPr>
  </w:style>
  <w:style w:type="paragraph" w:customStyle="1" w:styleId="134">
    <w:name w:val="菲页2"/>
    <w:basedOn w:val="4"/>
    <w:uiPriority w:val="0"/>
    <w:pPr>
      <w:widowControl/>
      <w:numPr>
        <w:numId w:val="0"/>
      </w:numPr>
      <w:spacing w:before="120" w:after="120"/>
      <w:ind w:left="720" w:hanging="720"/>
    </w:pPr>
    <w:rPr>
      <w:rFonts w:hint="eastAsia" w:ascii="黑体" w:eastAsia="黑体"/>
      <w:b w:val="0"/>
      <w:bCs w:val="0"/>
      <w:kern w:val="0"/>
      <w:sz w:val="44"/>
      <w:szCs w:val="20"/>
    </w:rPr>
  </w:style>
  <w:style w:type="paragraph" w:customStyle="1" w:styleId="135">
    <w:name w:val="xl2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cs="Arial Unicode MS"/>
      <w:kern w:val="0"/>
      <w:sz w:val="26"/>
      <w:szCs w:val="26"/>
    </w:rPr>
  </w:style>
  <w:style w:type="paragraph" w:customStyle="1" w:styleId="136">
    <w:name w:val="xl44"/>
    <w:basedOn w:val="1"/>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6"/>
      <w:szCs w:val="26"/>
    </w:rPr>
  </w:style>
  <w:style w:type="paragraph" w:customStyle="1" w:styleId="137">
    <w:name w:val="Preformatted"/>
    <w:basedOn w:val="1"/>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pPr>
    <w:rPr>
      <w:rFonts w:ascii="Courier New" w:hAnsi="Courier New"/>
      <w:kern w:val="0"/>
      <w:sz w:val="20"/>
    </w:rPr>
  </w:style>
  <w:style w:type="paragraph" w:customStyle="1" w:styleId="138">
    <w:name w:val="1.1"/>
    <w:basedOn w:val="1"/>
    <w:uiPriority w:val="0"/>
    <w:pPr>
      <w:ind w:left="1" w:hanging="1"/>
    </w:pPr>
    <w:rPr>
      <w:b/>
      <w:bCs/>
      <w:color w:val="000000"/>
      <w:szCs w:val="24"/>
      <w:u w:color="FF0000"/>
    </w:rPr>
  </w:style>
  <w:style w:type="paragraph" w:customStyle="1" w:styleId="139">
    <w:name w:val="xl35"/>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6"/>
      <w:szCs w:val="26"/>
    </w:rPr>
  </w:style>
  <w:style w:type="paragraph" w:customStyle="1" w:styleId="140">
    <w:name w:val="Char Char Char Char Char Char Char Char Char Char Char Char Char"/>
    <w:basedOn w:val="1"/>
    <w:uiPriority w:val="0"/>
    <w:rPr>
      <w:rFonts w:ascii="仿宋_GB2312" w:eastAsia="仿宋_GB2312"/>
      <w:b/>
      <w:sz w:val="32"/>
      <w:szCs w:val="32"/>
    </w:rPr>
  </w:style>
  <w:style w:type="paragraph" w:customStyle="1" w:styleId="141">
    <w:name w:val="xl2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Arial Unicode MS" w:hAnsi="Arial Unicode MS" w:eastAsia="Arial Unicode MS" w:cs="Arial Unicode MS"/>
      <w:kern w:val="0"/>
      <w:sz w:val="36"/>
      <w:szCs w:val="36"/>
    </w:rPr>
  </w:style>
  <w:style w:type="paragraph" w:customStyle="1" w:styleId="142">
    <w:name w:val="封面"/>
    <w:basedOn w:val="1"/>
    <w:uiPriority w:val="0"/>
    <w:pPr>
      <w:widowControl/>
      <w:tabs>
        <w:tab w:val="left" w:pos="6240"/>
      </w:tabs>
      <w:autoSpaceDE w:val="0"/>
      <w:autoSpaceDN w:val="0"/>
      <w:adjustRightInd w:val="0"/>
      <w:snapToGrid w:val="0"/>
      <w:jc w:val="center"/>
      <w:textAlignment w:val="bottom"/>
    </w:pPr>
    <w:rPr>
      <w:b/>
      <w:w w:val="90"/>
      <w:kern w:val="0"/>
      <w:sz w:val="48"/>
      <w:szCs w:val="48"/>
    </w:rPr>
  </w:style>
  <w:style w:type="paragraph" w:customStyle="1" w:styleId="143">
    <w:name w:val="xl3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30"/>
      <w:szCs w:val="30"/>
    </w:rPr>
  </w:style>
  <w:style w:type="paragraph" w:customStyle="1" w:styleId="144">
    <w:name w:val="正文空2格  1."/>
    <w:basedOn w:val="1"/>
    <w:uiPriority w:val="0"/>
    <w:pPr>
      <w:adjustRightInd w:val="0"/>
      <w:ind w:firstLine="480" w:firstLineChars="200"/>
      <w:textAlignment w:val="baseline"/>
    </w:pPr>
    <w:rPr>
      <w:rFonts w:eastAsia="仿宋" w:cs="宋体"/>
      <w:kern w:val="0"/>
      <w:sz w:val="28"/>
    </w:rPr>
  </w:style>
  <w:style w:type="paragraph" w:customStyle="1" w:styleId="145">
    <w:name w:val="xl45"/>
    <w:basedOn w:val="1"/>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6"/>
      <w:szCs w:val="26"/>
    </w:rPr>
  </w:style>
  <w:style w:type="paragraph" w:customStyle="1" w:styleId="146">
    <w:name w:val="xl3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6"/>
      <w:szCs w:val="26"/>
    </w:rPr>
  </w:style>
  <w:style w:type="paragraph" w:customStyle="1" w:styleId="147">
    <w:name w:val="目录文字"/>
    <w:basedOn w:val="1"/>
    <w:uiPriority w:val="0"/>
    <w:pPr>
      <w:widowControl/>
      <w:spacing w:line="480" w:lineRule="auto"/>
    </w:pPr>
    <w:rPr>
      <w:rFonts w:hint="eastAsia"/>
      <w:kern w:val="0"/>
    </w:rPr>
  </w:style>
  <w:style w:type="paragraph" w:customStyle="1" w:styleId="148">
    <w:name w:val="1"/>
    <w:basedOn w:val="1"/>
    <w:next w:val="138"/>
    <w:uiPriority w:val="0"/>
    <w:pPr>
      <w:tabs>
        <w:tab w:val="left" w:pos="0"/>
      </w:tabs>
    </w:pPr>
    <w:rPr>
      <w:bCs/>
    </w:rPr>
  </w:style>
  <w:style w:type="paragraph" w:customStyle="1" w:styleId="149">
    <w:name w:val="Char Char Char"/>
    <w:basedOn w:val="1"/>
    <w:uiPriority w:val="0"/>
    <w:rPr>
      <w:rFonts w:ascii="Tahoma" w:hAnsi="Tahoma"/>
    </w:rPr>
  </w:style>
  <w:style w:type="paragraph" w:customStyle="1" w:styleId="150">
    <w:name w:val="附件"/>
    <w:basedOn w:val="1"/>
    <w:uiPriority w:val="0"/>
    <w:pPr>
      <w:jc w:val="center"/>
    </w:pPr>
    <w:rPr>
      <w:b/>
      <w:color w:val="000000"/>
      <w:sz w:val="36"/>
      <w:szCs w:val="36"/>
    </w:rPr>
  </w:style>
  <w:style w:type="paragraph" w:customStyle="1" w:styleId="151">
    <w:name w:val="样式 标题 2 + (西文) 方正书宋简体 (中文) 方正黑体简体 非加粗 黑色 行距: 固定值 15 磅"/>
    <w:basedOn w:val="3"/>
    <w:uiPriority w:val="0"/>
    <w:pPr>
      <w:spacing w:before="0" w:after="0" w:line="300" w:lineRule="exact"/>
      <w:ind w:firstLine="200" w:firstLineChars="200"/>
      <w:jc w:val="left"/>
    </w:pPr>
    <w:rPr>
      <w:rFonts w:ascii="方正书宋简体" w:eastAsia="方正小标宋简体" w:cs="宋体"/>
      <w:b w:val="0"/>
      <w:bCs w:val="0"/>
      <w:color w:val="000000"/>
      <w:sz w:val="21"/>
      <w:szCs w:val="20"/>
    </w:rPr>
  </w:style>
  <w:style w:type="paragraph" w:customStyle="1" w:styleId="152">
    <w:name w:val="无间隔1"/>
    <w:uiPriority w:val="0"/>
    <w:pPr>
      <w:widowControl w:val="0"/>
      <w:ind w:firstLine="200" w:firstLineChars="200"/>
      <w:jc w:val="both"/>
    </w:pPr>
    <w:rPr>
      <w:rFonts w:ascii="Calibri" w:hAnsi="Calibri" w:eastAsia="楷体" w:cs="Times New Roman"/>
      <w:kern w:val="2"/>
      <w:sz w:val="24"/>
      <w:szCs w:val="22"/>
      <w:lang w:val="en-US" w:eastAsia="zh-CN" w:bidi="ar-SA"/>
    </w:rPr>
  </w:style>
  <w:style w:type="paragraph" w:customStyle="1" w:styleId="153">
    <w:name w:val="Char1"/>
    <w:basedOn w:val="1"/>
    <w:uiPriority w:val="0"/>
    <w:rPr>
      <w:szCs w:val="24"/>
    </w:rPr>
  </w:style>
  <w:style w:type="paragraph" w:customStyle="1" w:styleId="154">
    <w:name w:val="文章标题"/>
    <w:basedOn w:val="1"/>
    <w:uiPriority w:val="0"/>
    <w:pPr>
      <w:spacing w:line="480" w:lineRule="auto"/>
      <w:ind w:firstLine="541" w:firstLineChars="150"/>
    </w:pPr>
    <w:rPr>
      <w:b/>
      <w:bCs/>
      <w:sz w:val="36"/>
    </w:rPr>
  </w:style>
  <w:style w:type="paragraph" w:customStyle="1" w:styleId="155">
    <w:name w:val="xl2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eastAsia="Arial Unicode MS"/>
      <w:kern w:val="0"/>
      <w:sz w:val="26"/>
      <w:szCs w:val="26"/>
    </w:rPr>
  </w:style>
  <w:style w:type="paragraph" w:customStyle="1" w:styleId="156">
    <w:name w:val="Char Char Char1"/>
    <w:basedOn w:val="1"/>
    <w:uiPriority w:val="0"/>
    <w:rPr>
      <w:rFonts w:ascii="Tahoma" w:hAnsi="Tahoma"/>
    </w:rPr>
  </w:style>
  <w:style w:type="paragraph" w:customStyle="1" w:styleId="157">
    <w:name w:val="font1"/>
    <w:basedOn w:val="1"/>
    <w:uiPriority w:val="0"/>
    <w:pPr>
      <w:widowControl/>
      <w:spacing w:before="100" w:beforeAutospacing="1" w:after="100" w:afterAutospacing="1"/>
    </w:pPr>
    <w:rPr>
      <w:rFonts w:hint="eastAsia" w:cs="Arial Unicode MS"/>
      <w:kern w:val="0"/>
      <w:szCs w:val="24"/>
    </w:rPr>
  </w:style>
  <w:style w:type="paragraph" w:customStyle="1" w:styleId="158">
    <w:name w:val="xl47"/>
    <w:basedOn w:val="1"/>
    <w:uiPriority w:val="0"/>
    <w:pPr>
      <w:widowControl/>
      <w:pBdr>
        <w:bottom w:val="single" w:color="auto" w:sz="4" w:space="0"/>
      </w:pBdr>
      <w:spacing w:before="100" w:beforeAutospacing="1" w:after="100" w:afterAutospacing="1"/>
      <w:jc w:val="center"/>
      <w:textAlignment w:val="top"/>
    </w:pPr>
    <w:rPr>
      <w:rFonts w:ascii="Arial Unicode MS" w:hAnsi="Arial Unicode MS" w:eastAsia="Arial Unicode MS" w:cs="Arial Unicode MS"/>
      <w:kern w:val="0"/>
      <w:sz w:val="36"/>
      <w:szCs w:val="36"/>
    </w:rPr>
  </w:style>
  <w:style w:type="paragraph" w:customStyle="1" w:styleId="159">
    <w:name w:val="xl4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16"/>
      <w:szCs w:val="16"/>
    </w:rPr>
  </w:style>
  <w:style w:type="paragraph" w:customStyle="1" w:styleId="160">
    <w:name w:val="正文 1.1.1"/>
    <w:basedOn w:val="1"/>
    <w:next w:val="1"/>
    <w:uiPriority w:val="0"/>
    <w:pPr>
      <w:adjustRightInd w:val="0"/>
      <w:ind w:left="142"/>
      <w:textAlignment w:val="baseline"/>
      <w:outlineLvl w:val="2"/>
    </w:pPr>
    <w:rPr>
      <w:color w:val="FF0000"/>
      <w:kern w:val="0"/>
      <w:sz w:val="28"/>
      <w:szCs w:val="21"/>
    </w:rPr>
  </w:style>
  <w:style w:type="paragraph" w:customStyle="1" w:styleId="161">
    <w:name w:val="封面2"/>
    <w:basedOn w:val="1"/>
    <w:uiPriority w:val="0"/>
    <w:pPr>
      <w:adjustRightInd w:val="0"/>
      <w:spacing w:line="400" w:lineRule="exact"/>
      <w:ind w:firstLine="480" w:firstLineChars="200"/>
      <w:textAlignment w:val="baseline"/>
    </w:pPr>
    <w:rPr>
      <w:kern w:val="0"/>
      <w:sz w:val="32"/>
      <w:szCs w:val="34"/>
    </w:rPr>
  </w:style>
  <w:style w:type="paragraph" w:customStyle="1" w:styleId="162">
    <w:name w:val="xl49"/>
    <w:basedOn w:val="1"/>
    <w:uiPriority w:val="0"/>
    <w:pPr>
      <w:widowControl/>
      <w:pBdr>
        <w:bottom w:val="single" w:color="auto" w:sz="4" w:space="0"/>
      </w:pBdr>
      <w:spacing w:before="100" w:beforeAutospacing="1" w:after="100" w:afterAutospacing="1"/>
      <w:jc w:val="center"/>
      <w:textAlignment w:val="top"/>
    </w:pPr>
    <w:rPr>
      <w:rFonts w:ascii="Arial Unicode MS" w:hAnsi="Arial Unicode MS" w:eastAsia="Arial Unicode MS" w:cs="Arial Unicode MS"/>
      <w:kern w:val="0"/>
      <w:sz w:val="36"/>
      <w:szCs w:val="36"/>
    </w:rPr>
  </w:style>
  <w:style w:type="paragraph" w:customStyle="1" w:styleId="163">
    <w:name w:val="Char Char Char Char Char Char Char Char Char Char Char Char Char1"/>
    <w:basedOn w:val="1"/>
    <w:uiPriority w:val="0"/>
    <w:rPr>
      <w:rFonts w:ascii="仿宋_GB2312" w:eastAsia="仿宋_GB2312"/>
      <w:b/>
      <w:sz w:val="32"/>
      <w:szCs w:val="32"/>
    </w:rPr>
  </w:style>
  <w:style w:type="paragraph" w:customStyle="1" w:styleId="164">
    <w:name w:val="目录"/>
    <w:basedOn w:val="1"/>
    <w:uiPriority w:val="0"/>
    <w:pPr>
      <w:widowControl/>
      <w:jc w:val="center"/>
    </w:pPr>
    <w:rPr>
      <w:rFonts w:hint="eastAsia"/>
      <w:b/>
      <w:kern w:val="0"/>
      <w:sz w:val="36"/>
    </w:rPr>
  </w:style>
  <w:style w:type="paragraph" w:customStyle="1" w:styleId="165">
    <w:name w:val="xl3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eastAsia="Arial Unicode MS"/>
      <w:kern w:val="0"/>
      <w:sz w:val="26"/>
      <w:szCs w:val="26"/>
    </w:rPr>
  </w:style>
  <w:style w:type="paragraph" w:customStyle="1" w:styleId="166">
    <w:name w:val="样式一"/>
    <w:basedOn w:val="1"/>
    <w:uiPriority w:val="0"/>
    <w:pPr>
      <w:autoSpaceDE w:val="0"/>
      <w:autoSpaceDN w:val="0"/>
      <w:adjustRightInd w:val="0"/>
      <w:textAlignment w:val="baseline"/>
    </w:pPr>
    <w:rPr>
      <w:kern w:val="0"/>
      <w:lang w:val="en-GB"/>
    </w:rPr>
  </w:style>
  <w:style w:type="paragraph" w:customStyle="1" w:styleId="167">
    <w:name w:val="样式 标题 2 + (西文) 方正书宋简体 (中文) 方正黑体简体 非加粗 黑色 段前: 0 磅 段后: 0 磅 行..."/>
    <w:basedOn w:val="3"/>
    <w:uiPriority w:val="0"/>
    <w:pPr>
      <w:spacing w:before="0" w:after="0" w:line="300" w:lineRule="exact"/>
      <w:jc w:val="left"/>
    </w:pPr>
    <w:rPr>
      <w:rFonts w:ascii="方正书宋简体" w:eastAsia="方正小标宋简体" w:cs="宋体"/>
      <w:b w:val="0"/>
      <w:bCs w:val="0"/>
      <w:color w:val="000000"/>
      <w:sz w:val="21"/>
      <w:szCs w:val="20"/>
    </w:rPr>
  </w:style>
  <w:style w:type="paragraph" w:customStyle="1" w:styleId="168">
    <w:name w:val="xl37"/>
    <w:basedOn w:val="1"/>
    <w:uiPriority w:val="0"/>
    <w:pPr>
      <w:widowControl/>
      <w:pBdr>
        <w:left w:val="single" w:color="auto" w:sz="4" w:space="0"/>
        <w:bottom w:val="single" w:color="auto" w:sz="4" w:space="0"/>
        <w:right w:val="single" w:color="auto" w:sz="4" w:space="0"/>
      </w:pBdr>
      <w:spacing w:before="100" w:beforeAutospacing="1" w:after="100" w:afterAutospacing="1"/>
      <w:textAlignment w:val="top"/>
    </w:pPr>
    <w:rPr>
      <w:rFonts w:ascii="Arial Unicode MS" w:hAnsi="Arial Unicode MS" w:eastAsia="Arial Unicode MS" w:cs="Arial Unicode MS"/>
      <w:kern w:val="0"/>
      <w:szCs w:val="21"/>
    </w:rPr>
  </w:style>
  <w:style w:type="paragraph" w:customStyle="1" w:styleId="169">
    <w:name w:val="xl41"/>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36"/>
      <w:szCs w:val="36"/>
    </w:rPr>
  </w:style>
  <w:style w:type="paragraph" w:customStyle="1" w:styleId="170">
    <w:name w:val="xl38"/>
    <w:basedOn w:val="1"/>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eastAsia="Arial Unicode MS"/>
      <w:color w:val="000000"/>
      <w:kern w:val="0"/>
      <w:sz w:val="26"/>
      <w:szCs w:val="26"/>
    </w:rPr>
  </w:style>
  <w:style w:type="paragraph" w:customStyle="1" w:styleId="171">
    <w:name w:val="1 Char Char Char Char"/>
    <w:basedOn w:val="1"/>
    <w:uiPriority w:val="0"/>
    <w:rPr>
      <w:rFonts w:ascii="Tahoma" w:hAnsi="Tahoma"/>
    </w:rPr>
  </w:style>
  <w:style w:type="paragraph" w:customStyle="1" w:styleId="172">
    <w:name w:val="xl46"/>
    <w:basedOn w:val="1"/>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6"/>
      <w:szCs w:val="26"/>
    </w:rPr>
  </w:style>
  <w:style w:type="character" w:customStyle="1" w:styleId="173">
    <w:name w:val="con"/>
    <w:uiPriority w:val="0"/>
  </w:style>
  <w:style w:type="paragraph" w:customStyle="1" w:styleId="174">
    <w:name w:val="Revision"/>
    <w:hidden/>
    <w:semiHidden/>
    <w:uiPriority w:val="99"/>
    <w:rPr>
      <w:rFonts w:ascii="Times New Roman" w:hAnsi="Times New Roman" w:eastAsia="宋体" w:cs="Times New Roman"/>
      <w:kern w:val="2"/>
      <w:sz w:val="21"/>
      <w:lang w:val="en-US" w:eastAsia="zh-CN" w:bidi="ar-SA"/>
    </w:rPr>
  </w:style>
  <w:style w:type="paragraph" w:customStyle="1" w:styleId="175">
    <w:name w:val="条目标题"/>
    <w:basedOn w:val="1"/>
    <w:link w:val="177"/>
    <w:qFormat/>
    <w:uiPriority w:val="0"/>
    <w:pPr>
      <w:spacing w:afterLines="50"/>
    </w:pPr>
    <w:rPr>
      <w:b/>
      <w:szCs w:val="24"/>
    </w:rPr>
  </w:style>
  <w:style w:type="paragraph" w:customStyle="1" w:styleId="176">
    <w:name w:val="条目正文"/>
    <w:basedOn w:val="1"/>
    <w:link w:val="178"/>
    <w:qFormat/>
    <w:uiPriority w:val="0"/>
    <w:pPr>
      <w:spacing w:afterLines="50"/>
      <w:ind w:firstLine="420" w:firstLineChars="200"/>
    </w:pPr>
    <w:rPr>
      <w:szCs w:val="24"/>
    </w:rPr>
  </w:style>
  <w:style w:type="character" w:customStyle="1" w:styleId="177">
    <w:name w:val="条目标题 Char"/>
    <w:link w:val="175"/>
    <w:uiPriority w:val="0"/>
    <w:rPr>
      <w:rFonts w:ascii="宋体" w:hAnsi="宋体"/>
      <w:b/>
      <w:kern w:val="2"/>
      <w:sz w:val="24"/>
      <w:szCs w:val="24"/>
    </w:rPr>
  </w:style>
  <w:style w:type="character" w:customStyle="1" w:styleId="178">
    <w:name w:val="条目正文 Char"/>
    <w:link w:val="176"/>
    <w:uiPriority w:val="0"/>
    <w:rPr>
      <w:rFonts w:ascii="宋体" w:hAnsi="宋体"/>
      <w:kern w:val="2"/>
      <w:sz w:val="21"/>
      <w:szCs w:val="24"/>
    </w:rPr>
  </w:style>
  <w:style w:type="paragraph" w:customStyle="1" w:styleId="179">
    <w:name w:val="列出段落1"/>
    <w:basedOn w:val="1"/>
    <w:link w:val="186"/>
    <w:qFormat/>
    <w:uiPriority w:val="34"/>
    <w:pPr>
      <w:ind w:firstLine="420" w:firstLineChars="200"/>
    </w:pPr>
    <w:rPr>
      <w:rFonts w:ascii="Calibri" w:hAnsi="Calibri"/>
      <w:szCs w:val="22"/>
    </w:rPr>
  </w:style>
  <w:style w:type="paragraph" w:styleId="180">
    <w:name w:val="No Spacing"/>
    <w:qFormat/>
    <w:uiPriority w:val="1"/>
    <w:pPr>
      <w:widowControl w:val="0"/>
    </w:pPr>
    <w:rPr>
      <w:rFonts w:ascii="宋体" w:hAnsi="宋体" w:eastAsia="宋体" w:cs="Times New Roman"/>
      <w:kern w:val="2"/>
      <w:sz w:val="24"/>
      <w:lang w:val="en-US" w:eastAsia="zh-CN" w:bidi="ar-SA"/>
    </w:rPr>
  </w:style>
  <w:style w:type="character" w:customStyle="1" w:styleId="181">
    <w:name w:val="Subtle Emphasis"/>
    <w:basedOn w:val="53"/>
    <w:qFormat/>
    <w:uiPriority w:val="19"/>
    <w:rPr>
      <w:i/>
      <w:iCs/>
      <w:color w:val="3F3F3F" w:themeColor="text1" w:themeTint="BF"/>
    </w:rPr>
  </w:style>
  <w:style w:type="character" w:customStyle="1" w:styleId="182">
    <w:name w:val="未处理的提及1"/>
    <w:basedOn w:val="53"/>
    <w:semiHidden/>
    <w:unhideWhenUsed/>
    <w:uiPriority w:val="99"/>
    <w:rPr>
      <w:color w:val="605E5C"/>
      <w:shd w:val="clear" w:color="auto" w:fill="E1DFDD"/>
    </w:rPr>
  </w:style>
  <w:style w:type="character" w:customStyle="1" w:styleId="183">
    <w:name w:val="纯文本 字符1"/>
    <w:locked/>
    <w:uiPriority w:val="0"/>
    <w:rPr>
      <w:rFonts w:ascii="宋体" w:hAnsi="Courier New" w:eastAsia="宋体"/>
      <w:kern w:val="2"/>
      <w:sz w:val="21"/>
      <w:lang w:val="en-US" w:eastAsia="zh-CN" w:bidi="ar-SA"/>
    </w:rPr>
  </w:style>
  <w:style w:type="paragraph" w:customStyle="1" w:styleId="184">
    <w:name w:val="p0"/>
    <w:basedOn w:val="1"/>
    <w:uiPriority w:val="0"/>
    <w:pPr>
      <w:widowControl/>
      <w:spacing w:line="240" w:lineRule="auto"/>
      <w:jc w:val="both"/>
    </w:pPr>
    <w:rPr>
      <w:rFonts w:ascii="Calibri" w:hAnsi="Calibri"/>
      <w:kern w:val="0"/>
      <w:sz w:val="21"/>
      <w:szCs w:val="21"/>
    </w:rPr>
  </w:style>
  <w:style w:type="paragraph" w:customStyle="1" w:styleId="185">
    <w:name w:val="Char Char Char Char Char Char Char Char Char2 Char Char Char Char Char Char Char Char Char Char Char Char Char"/>
    <w:basedOn w:val="1"/>
    <w:uiPriority w:val="0"/>
    <w:pPr>
      <w:spacing w:line="240" w:lineRule="auto"/>
      <w:jc w:val="both"/>
    </w:pPr>
    <w:rPr>
      <w:rFonts w:ascii="仿宋_GB2312" w:hAnsi="Calibri" w:eastAsia="仿宋_GB2312"/>
      <w:b/>
      <w:sz w:val="32"/>
      <w:szCs w:val="32"/>
    </w:rPr>
  </w:style>
  <w:style w:type="character" w:customStyle="1" w:styleId="186">
    <w:name w:val="列出段落 Char"/>
    <w:link w:val="179"/>
    <w:qFormat/>
    <w:uiPriority w:val="0"/>
    <w:rPr>
      <w:rFonts w:ascii="Calibri" w:hAnsi="Calibri"/>
      <w:kern w:val="2"/>
      <w:sz w:val="24"/>
      <w:szCs w:val="22"/>
    </w:rPr>
  </w:style>
  <w:style w:type="character" w:customStyle="1" w:styleId="187">
    <w:name w:val="图表编号及题目 Char"/>
    <w:link w:val="188"/>
    <w:uiPriority w:val="99"/>
    <w:rPr>
      <w:rFonts w:ascii="黑体" w:eastAsia="黑体"/>
      <w:b/>
      <w:bCs/>
      <w:sz w:val="21"/>
      <w:szCs w:val="21"/>
    </w:rPr>
  </w:style>
  <w:style w:type="paragraph" w:customStyle="1" w:styleId="188">
    <w:name w:val="图表编号及题目"/>
    <w:basedOn w:val="1"/>
    <w:link w:val="187"/>
    <w:uiPriority w:val="99"/>
    <w:pPr>
      <w:adjustRightInd w:val="0"/>
      <w:snapToGrid w:val="0"/>
      <w:spacing w:before="60" w:after="60" w:line="300" w:lineRule="auto"/>
      <w:ind w:firstLine="420"/>
      <w:jc w:val="center"/>
    </w:pPr>
    <w:rPr>
      <w:rFonts w:ascii="黑体" w:hAnsi="Times New Roman" w:eastAsia="黑体"/>
      <w:b/>
      <w:bCs/>
      <w:kern w:val="0"/>
      <w:sz w:val="21"/>
      <w:szCs w:val="21"/>
    </w:rPr>
  </w:style>
  <w:style w:type="paragraph" w:customStyle="1" w:styleId="189">
    <w:name w:val="正文缩进1"/>
    <w:basedOn w:val="1"/>
    <w:uiPriority w:val="0"/>
    <w:pPr>
      <w:autoSpaceDE w:val="0"/>
      <w:autoSpaceDN w:val="0"/>
      <w:adjustRightInd w:val="0"/>
      <w:spacing w:line="240" w:lineRule="auto"/>
      <w:ind w:firstLine="420"/>
    </w:pPr>
    <w:rPr>
      <w:rFonts w:hAnsi="Calibri"/>
      <w:kern w:val="0"/>
    </w:rPr>
  </w:style>
  <w:style w:type="paragraph" w:customStyle="1" w:styleId="190">
    <w:name w:val="TOC Heading"/>
    <w:basedOn w:val="2"/>
    <w:next w:val="1"/>
    <w:semiHidden/>
    <w:unhideWhenUsed/>
    <w:qFormat/>
    <w:uiPriority w:val="39"/>
    <w:pPr>
      <w:keepNext/>
      <w:keepLines/>
      <w:widowControl/>
      <w:numPr>
        <w:numId w:val="0"/>
      </w:numPr>
      <w:spacing w:beforeLines="0" w:afterLines="0" w:line="276" w:lineRule="auto"/>
      <w:jc w:val="left"/>
      <w:outlineLvl w:val="9"/>
    </w:pPr>
    <w:rPr>
      <w:rFonts w:asciiTheme="majorHAnsi" w:hAnsiTheme="majorHAnsi" w:eastAsiaTheme="majorEastAsia" w:cstheme="majorBidi"/>
      <w:color w:val="2F5496" w:themeColor="accent1" w:themeShade="BF"/>
      <w:kern w:val="0"/>
      <w:sz w:val="28"/>
      <w:szCs w:val="28"/>
    </w:rPr>
  </w:style>
  <w:style w:type="character" w:customStyle="1" w:styleId="191">
    <w:name w:val="HTML Markup"/>
    <w:uiPriority w:val="0"/>
    <w:rPr>
      <w:vanish/>
      <w:color w:val="FF000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customXml" Target="../customXml/item2.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header" Target="header11.xml"/><Relationship Id="rId21" Type="http://schemas.openxmlformats.org/officeDocument/2006/relationships/header" Target="head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_rels/header3.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1.jpeg"/><Relationship Id="rId1" Type="http://schemas.openxmlformats.org/officeDocument/2006/relationships/hyperlink" Target="https://baike.baidu.com/pic/&#230;&#177;&#159;&#232;&#139;&#143;&#233;&#163;&#159;&#229;&#147;&#129;&#232;&#141;&#175;&#229;&#147;&#129;&#232;&#129;&#140;&#228;&#184;&#154;&#230;&#138;&#128;&#230;&#156;&#175;&#229;&#173;&#166;&#233;&#153;&#162;/3222111/0/342ac65c103853435dae1db59e13b07ecb8088c5?fr=lemma%26ct=single" TargetMode="External"/></Relationships>
</file>

<file path=word/_rels/header7.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1.jpeg"/><Relationship Id="rId1" Type="http://schemas.openxmlformats.org/officeDocument/2006/relationships/hyperlink" Target="https://baike.baidu.com/pic/&#230;&#177;&#159;&#232;&#139;&#143;&#233;&#163;&#159;&#229;&#147;&#129;&#232;&#141;&#175;&#229;&#147;&#129;&#232;&#129;&#140;&#228;&#184;&#154;&#230;&#138;&#128;&#230;&#156;&#175;&#229;&#173;&#166;&#233;&#153;&#162;/3222111/0/342ac65c103853435dae1db59e13b07ecb8088c5?fr=lemma%26ct=single"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4CC5E0B-D781-4635-AAB9-40CAC405E118}">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48</Pages>
  <Words>3547</Words>
  <Characters>20224</Characters>
  <Lines>168</Lines>
  <Paragraphs>47</Paragraphs>
  <TotalTime>31</TotalTime>
  <ScaleCrop>false</ScaleCrop>
  <LinksUpToDate>false</LinksUpToDate>
  <CharactersWithSpaces>23724</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2019-11-21T00:16:00Z</dcterms:created>
  <dc:creator>xhtc_01</dc:creator>
  <cp:lastModifiedBy>spxy</cp:lastModifiedBy>
  <cp:lastPrinted>2020-06-22T04:17:00Z</cp:lastPrinted>
  <dcterms:modified xsi:type="dcterms:W3CDTF">2020-10-23T09:52:30Z</dcterms:modified>
  <cp:revision>128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